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60 STUDENT HANDBOOK</w:t>
      </w:r>
    </w:p>
    <w:p>
      <w:pPr>
        <w:jc w:val="center"/>
      </w:pPr>
      <w:r>
        <w:rPr>
          <w:b/>
          <w:color w:val="1E293B"/>
          <w:sz w:val="28"/>
        </w:rPr>
        <w:t>Gain Structure and Noise Control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mixer, signal generator, SPL/multimeter where approved, speake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60 objective  Complete the assessment and presentation for Gain Structure and Noise Control — Assessment Project: Plan, execute, verify, present, and safely close an assessment project covering the complete gain structure and noise control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gain structure and noise control phase.</w:t>
      </w:r>
    </w:p>
    <w:p>
      <w:pPr>
        <w:pStyle w:val="ListBullet"/>
      </w:pPr>
      <w:r>
        <w:rPr>
          <w:b w:val="0"/>
          <w:sz w:val="22"/>
        </w:rPr>
        <w:t>Explain Gain Structure and Noise Control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Gain Structure and Noise Control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“Gain Structure and Noise Control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mixer, signal generator, SPL/multimeter where approved, speakers.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mixer, signal generator, SPL/multimeter where approved, speakers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Day_60_Gain_Structure_and_Noise_Control_Assessment_Proj/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Gain Structure and Noise Control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60 scope, prerequisite from Day 59,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mixer, signal generator, SPL/multimeter where approved, speakers.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Day_060_gain_structure_and_noise_control__assessment_project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gain structure and noise control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Gain Structure and Noise Control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"Gain Structure and Noise Control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Gain Structure and Noise Control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Gain Structure and Noise Control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60 (Assessment and presentation) on Gain Structure and Noise Control — Assessment Project.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