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64 STUDENT HANDBOOK</w:t>
      </w:r>
    </w:p>
    <w:p>
      <w:pPr>
        <w:jc w:val="center"/>
      </w:pPr>
      <w:r>
        <w:rPr>
          <w:b/>
          <w:color w:val="1E293B"/>
          <w:sz w:val="28"/>
        </w:rPr>
        <w:t>Parametric Eq Frequency Gain And Q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digital mixer, RTA software, headphones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64 objective  Complete the guided laboratory for Parametric Eq Frequency Gain And Q — Configuration Lab: Complete a supervised applied lab for parametric EQ frequency gain and Q,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parametric EQ frequency gain and Q,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Parametric Eq Frequency Gain And Q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Parametric Eq Frequency Gain And Q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“Parametric Eq Frequency Gain And Q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digital mixer, RTA software, headphones.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digital mixer, RTA software, headphones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Day_64_Parametric_Eq_Frequency_Gain_And_Q_Configuration/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Parametric Eq Frequency Gain And Q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64 scope, prerequisite from Day 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digital mixer, RTA software, headphones.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Day_064_parametric_eq_frequency_gain_and_q__configuration_lab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parametric EQ frequency gain and Q,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Parametric Eq Frequency Gain And Q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"Parametric Eq Frequency Gain And Q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Parametric Eq Frequency Gain And Q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Parametric Eq Frequency Gain And Q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64 (Guided laboratory) on Parametric Eq Frequency Gain And Q — Configuration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