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72 STUDENT HANDBOOK</w:t>
      </w:r>
    </w:p>
    <w:p>
      <w:pPr>
        <w:jc w:val="center"/>
      </w:pPr>
      <w:r>
        <w:rPr>
          <w:b/>
          <w:color w:val="1E293B"/>
          <w:sz w:val="28"/>
        </w:rPr>
        <w:t>Compressor Threshold Ratio Attack Release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digital mixer, audio playback, measurement software, speakers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72 objective  Complete the concept development for Compressor Threshold Ratio Attack Release — Applied Baseline Lab: Complete a supervised applied lab for compressor threshold ratio attack release,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compressor threshold ratio attack release,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Compressor Threshold Ratio Attack Release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Compressor Threshold Ratio Attack Release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“Compressor Threshold Ratio Attack Release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Compressor Threshold Ratio Attack Release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digital mixer, audio playback, measurement software, speakers.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digital mixer, audio playback, measurement software, speakers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Day_72_Compressor_Threshold_Ratio_Attack_Release_Applie/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Compressor Threshold Ratio Attack Release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72 scope, prerequisite from Day 71,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digital mixer, audio playback, measurement software, speakers.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Day_072_compressor_threshold_ratio_attack_release__applied_baseline_la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compressor threshold ratio attack release,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Compressor Threshold Ratio Attack Release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"Compressor Threshold Ratio Attack Release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Compressor Threshold Ratio Attack Release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Compressor Threshold Ratio Attack Release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72 (Concept development) on Compressor Threshold Ratio Attack Release — Applied Baseline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