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89 STUDENT HANDBOOK</w:t>
      </w:r>
    </w:p>
    <w:p>
      <w:pPr>
        <w:jc w:val="center"/>
      </w:pPr>
      <w:r>
        <w:rPr>
          <w:b/>
          <w:color w:val="1E293B"/>
          <w:sz w:val="28"/>
        </w:rPr>
        <w:t>Effects and Spatial Processing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digital mixer, playback, headphones, speakers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89 objective  Complete the integration and documentation for Effects and Spatial Processing — Integration, Documentation, and Handover: Integrate the four effects and spatial processing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effects and spatial processing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Effects and Spatial Processing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Effects and Spatial Processing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“Effects and Spatial Processing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Effects and Spatial Processing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digital mixer, playback, headphones, speakers.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digital mixer, playback, headphones, speakers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Day_89_Effects_and_Spatial_Processing_Integration_Docum/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Effects and Spatial Processing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89 scope, prerequisite from Day 88,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digital mixer, playback, headphones, speakers.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Day_089_effects_and_spatial_processing__integration_documentation_and_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effects and spatial processing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Effects and Spatial Processing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"Effects and Spatial Processing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Effects and Spatial Processing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Effects and Spatial Processing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89 (Integration and documentation) on Effects and Spatial Processing — Integration, Documentation, and Handover.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