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106 STUDENT HANDBOOK</w:t>
      </w:r>
    </w:p>
    <w:p>
      <w:pPr>
        <w:jc w:val="center"/>
      </w:pPr>
      <w:r>
        <w:rPr>
          <w:b/>
          <w:color w:val="1E293B"/>
          <w:sz w:val="28"/>
        </w:rPr>
        <w:t>Subwoofer Alignment And Crossover Region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measurement microphone, Smaart/Open Sound Meter/REW, DSP,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106 objective  Complete the operations and measurement for Subwoofer Alignment And Crossover Region — Operations and Measurement: Complete a supervised applied lab for subwoofer alignment and crossover region,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subwoofer alignment and crossover region,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Subwoofer Alignment And Crossover Region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Subwoofer Alignment And Crossover Region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“Subwoofer Alignment And Crossover Region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Subwoofer Alignment And Crossover Region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measurement microphone, Smaart/Open Sound Meter/REW, DSP,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measurement microphone, Smaart/Open Sound Meter/REW, DSP,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Day_106_Subwoofer_Alignment_And_Crossover_Region_Operati/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Subwoofer Alignment And Crossover Region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106 scope, prerequisite from Day 105,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measurement microphone, Smaart/Open Sound Meter/REW, DSP,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Day_106_subwoofer_alignment_and_crossover_region__operations_and_measu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subwoofer alignment and crossover region,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106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Subwoofer Alignment And Crossover Region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"Subwoofer Alignment And Crossover Region — Operations and Measurement"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day-106_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Subwoofer Alignment And Crossover Region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Subwoofer Alignment And Crossover Region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106 (Operations and measurement) on Subwoofer Alignment And Crossover Region — Operations and Measurement.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