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115 STUDENT HANDBOOK</w:t>
      </w:r>
    </w:p>
    <w:p>
      <w:pPr>
        <w:jc w:val="center"/>
      </w:pPr>
      <w:r>
        <w:rPr>
          <w:b/>
          <w:color w:val="1E293B"/>
          <w:sz w:val="28"/>
        </w:rPr>
        <w:t>Iem Routing Limiting Ambience And Rf Concepts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mixer, wedges/IEM systems, SPL tools, intercom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115 objective  Complete the applied practice for Iem Routing Limiting Ambience And Rf Concepts — Design and Technique: Explain and demonstrate IEM routing limiting ambience and RF concepts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IEM routing limiting ambience and RF concepts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Iem Routing Limiting Ambience And Rf Concepts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Iem Routing Limiting Ambience And Rf Concepts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“Iem Routing Limiting Ambience And Rf Concepts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mixer, wedges/IEM systems, SPL tools, intercom.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mixer, wedges/IEM systems, SPL tools, intercom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Day_115_Iem_Routing_Limiting_Ambience_And_Rf_Concepts_De/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Iem Routing Limiting Ambience And Rf Concepts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115 scope, prerequisite from Day 114,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mixer, wedges/IEM systems, SPL tools, intercom.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Day_115_iem_routing_limiting_ambience_and_rf_concepts__design_and_tech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IEM routing limiting ambience and RF concepts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115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Iem Routing Limiting Ambience And Rf Concepts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Applied practice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"Iem Routing Limiting Ambience And Rf Concepts — Design and Technique"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day-115_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Iem Routing Limiting Ambience And Rf Concepts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Iem Routing Limiting Ambience And Rf Concepts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115 (Applied practice) on Iem Routing Limiting Ambience And Rf Concepts — Design and Technique.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