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124 STUDENT HANDBOOK</w:t>
      </w:r>
    </w:p>
    <w:p>
      <w:pPr>
        <w:jc w:val="center"/>
      </w:pPr>
      <w:r>
        <w:rPr>
          <w:b/>
          <w:color w:val="1E293B"/>
          <w:sz w:val="28"/>
        </w:rPr>
        <w:t>Clocking Sample Rate And Latency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networked audio lab, managed switch, controller software, pack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124 objective  Complete the guided laboratory for Clocking Sample Rate And Latency — Configuration Lab: Complete a supervised applied lab for clocking sample rate and latency,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clocking sample rate and latency,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Clocking Sample Rate And Latency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Clocking Sample Rate And Latency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“Clocking Sample Rate And Latency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Clocking Sample Rate And Latency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networked audio lab, managed switch, controller software, packet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networked audio lab, managed switch, controller software, packet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Day_124_Clocking_Sample_Rate_And_Latency_Configuration_L/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Clocking Sample Rate And Latency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124 scope, prerequisite from Day 123,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networked audio lab, managed switch, controller software, packet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Day_124_clocking_sample_rate_and_latency__configuration_lab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clocking sample rate and latency,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Clocking Sample Rate And Latency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"Clocking Sample Rate And Latency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Clocking Sample Rate And Latency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Clocking Sample Rate And Latency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124 (Guided laboratory) on Clocking Sample Rate And Latency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