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132 STUDENT HANDBOOK</w:t>
      </w:r>
    </w:p>
    <w:p>
      <w:pPr>
        <w:jc w:val="center"/>
      </w:pPr>
      <w:r>
        <w:rPr>
          <w:b/>
          <w:color w:val="1E293B"/>
          <w:sz w:val="28"/>
        </w:rPr>
        <w:t>Multitrack Routing And Clocking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132 objective  Complete the concept development for Multitrack Routing And Clocking — Applied Baseline Lab: Complete a supervised applied lab for multitrack routing and clocking,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multitrack routing and clocking,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Multitrack Routing And Clocking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Multitrack Routing And Clocking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“Multitrack Routing And Clocking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DAW, audio interface/network, storage,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Day_132_Multitrack_Routing_And_Clocking_Applied_Baseline/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Multitrack Routing And Clocking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132 scope, prerequisite from Day 131,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DAW, audio interface/network, storage,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Day_132_multitrack_routing_and_clocking__applied_baseline_lab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multitrack routing and clocking,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Multitrack Routing And Clocking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"Multitrack Routing And Clocking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Multitrack Routing And Clocking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Multitrack Routing And Clocking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132 (Concept development) on Multitrack Routing And Clocking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