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134 STUDENT HANDBOOK</w:t>
      </w:r>
    </w:p>
    <w:p>
      <w:pPr>
        <w:jc w:val="center"/>
      </w:pPr>
      <w:r>
        <w:rPr>
          <w:b/>
          <w:color w:val="1E293B"/>
          <w:sz w:val="28"/>
        </w:rPr>
        <w:t>Recording Levels Storage And Consent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134 objective  Complete the guided laboratory for Recording Levels Storage And Consent — Configuration Lab: Complete a supervised applied lab for recording levels storage and consent,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recording levels storage and consent,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Recording Levels Storage And Consent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Recording Levels Storage And Consent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“Recording Levels Storage And Consent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DAW, audio interface/network, storage, mixer.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Day_134_Recording_Levels_Storage_And_Consent_Configurati/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Recording Levels Storage And Consent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134 scope, prerequisite from Day 133,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DAW, audio interface/network, storage, mixer.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Day_134_recording_levels_storage_and_consent__configuration_lab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recording levels storage and consent,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Recording Levels Storage And Consent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"Recording Levels Storage And Consent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Recording Levels Storage And Consent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Recording Levels Storage And Consent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134 (Guided laboratory) on Recording Levels Storage And Consent — Configuration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