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138 STUDENT HANDBOOK</w:t>
      </w:r>
    </w:p>
    <w:p>
      <w:pPr>
        <w:jc w:val="center"/>
      </w:pPr>
      <w:r>
        <w:rPr>
          <w:b/>
          <w:color w:val="1E293B"/>
          <w:sz w:val="28"/>
        </w:rPr>
        <w:t>File Naming Backup And Rights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138 objective  Complete the safety and quality review for File Naming Backup And Rights — Safety, Quality, and Verification: Complete a supervised applied lab for file naming backup and rights,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file naming backup and rights,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File Naming Backup And Rights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File Naming Backup And Rights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“File Naming Backup And Rights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File Naming Backup And Rights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DAW, audio interface/network, storage,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Day_138_File_Naming_Backup_And_Rights_Safety_Quality_and/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File Naming Backup And Rights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138 scope, prerequisite from Day 137,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DAW, audio interface/network, storage,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Day_138_file_naming_backup_and_rights__safety_quality_and_verification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file naming backup and rights,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File Naming Backup And Rights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"File Naming Backup And Rights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File Naming Backup And Rights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File Naming Backup And Rights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138 (Safety and quality review) on File Naming Backup And Rights — Safety, Quality, and Verification.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