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141 STUDENT HANDBOOK</w:t>
      </w:r>
    </w:p>
    <w:p>
      <w:pPr>
        <w:jc w:val="center"/>
      </w:pPr>
      <w:r>
        <w:rPr>
          <w:b/>
          <w:color w:val="1E293B"/>
          <w:sz w:val="28"/>
        </w:rPr>
        <w:t>Frequency Spectrum And Legal Operation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wireless microphones, approved RF tools, antennas, battery too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141 objective  Complete the orientation and setup for Frequency Spectrum And Legal Operation — Foundations and Vocabulary: Explain and demonstrate frequency spectrum and legal operation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frequency spectrum and legal operation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Frequency Spectrum And Legal Operation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Frequency Spectrum And Legal Operation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“Frequency Spectrum And Legal Operation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Frequency Spectrum And Legal Operation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wireless microphones, approved RF tools, antennas, battery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wireless microphones, approved RF tools, antennas, battery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Day_141_Frequency_Spectrum_And_Legal_Operation_Foundatio/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Frequency Spectrum And Legal Operation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141 scope, prerequisite from Day 140,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wireless microphones, approved RF tools, antennas, battery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Day_141_frequency_spectrum_and_legal_operation__foundations_and_vocabu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frequency spectrum and legal operation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Frequency Spectrum And Legal Operation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"Frequency Spectrum And Legal Operation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Frequency Spectrum And Legal Operation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Frequency Spectrum And Legal Operation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141 (Orientation and setup) on Frequency Spectrum And Legal Operation — Foundations and Vocabulary.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