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154 STUDENT HANDBOOK</w:t>
      </w:r>
    </w:p>
    <w:p>
      <w:pPr>
        <w:jc w:val="center"/>
      </w:pPr>
      <w:r>
        <w:rPr>
          <w:b/>
          <w:color w:val="1E293B"/>
          <w:sz w:val="28"/>
        </w:rPr>
        <w:t>Speech Music Theatre And Worship Mixing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full audio system, mixer, intercom,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154 objective  Complete the guided laboratory for Speech Music Theatre And Worship Mixing — Configuration Lab: Complete a supervised applied lab for speech music theatre and worship mixing,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speech music theatre and worship mixing,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Speech Music Theatre And Worship Mixing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Speech Music Theatre And Worship Mixing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“Speech Music Theatre And Worship Mixing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Speech Music Theatre And Worship Mixing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full audio system, mixer, intercom,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full audio system, mixer, intercom,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Day_154_Speech_Music_Theatre_And_Worship_Mixing_Configur/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Speech Music Theatre And Worship Mixing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154 scope, prerequisite from Day 153,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full audio system, mixer, intercom,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Day_154_speech_music_theatre_and_worship_mixing__configuration_lab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speech music theatre and worship mixing,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Speech Music Theatre And Worship Mixing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"Speech Music Theatre And Worship Mixing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Speech Music Theatre And Worship Mixing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Speech Music Theatre And Worship Mixing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154 (Guided laboratory) on Speech Music Theatre And Worship Mixing — Configuration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