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Switching and VLANs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Switching and VLANs — Assessment Project: Plan, execute, verify, present, and safely close an assessment project covering the complete switching and vlans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switching and vlans phase.</w:t>
      </w:r>
    </w:p>
    <w:p>
      <w:pPr>
        <w:pStyle w:val="ListBullet"/>
      </w:pPr>
      <w:r>
        <w:rPr>
          <w:b w:val="0"/>
          <w:sz w:val="22"/>
        </w:rPr>
        <w:t>Explain Switching and VLANs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Switching and VLANs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“Switching and VLANs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managed switches, console cable,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Day_50_Switching_and_VLANs_Assessment_Project/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Beyond_Networking_Internship\Day_50_Switching_and_VLANs_Assessment_Project\evidence, Beyond_Networking_Internship\Day_50_Switching_and_VLANs_Assessment_Project\notebooks, Beyond_Networking_Internship\Day_50_Switching_and_VLANs_Assessment_Project\src, Beyond_Networking_Internship\Day_50_Switching_and_VLANs_Assessment_Project\data, Beyond_Networking_Internship\Day_50_Switching_and_VLANs_Assessment_Project\output, Beyond_Networking_Internship\Day_50_Switching_and_VLANs_Assessment_Project\report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Beyond_Networking_Internship/Day_50_Switching_and_VLANs_Assessment_Project/{evidence,notebooks,src,data,output,report}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Switching and VLANs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50 scope, prerequisite from Day 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managed switches, console cable,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Day_050_switching_and_vlans__assessment_project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switching and vlans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Assessment and presentation: Switching and VLANs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Switching and VLANs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'Switching and VLANs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Switching and VLANs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Switching and VLANs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Switching and VLANs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