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64 STUDENT HANDBOOK</w:t>
      </w:r>
    </w:p>
    <w:p>
      <w:pPr>
        <w:jc w:val="center"/>
      </w:pPr>
      <w:r>
        <w:rPr>
          <w:b/>
          <w:color w:val="1E293B"/>
          <w:sz w:val="28"/>
        </w:rPr>
        <w:t>Static Default And Floating Routes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64 objective  Complete the guided laboratory for Static Default And Floating Routes — Configuration Lab: Complete a supervised applied lab for static default and floating routes,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static default and floating routes,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Static Default And Floating Routes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Static Default And Floating Routes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“Static Default And Floating Routes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Static Default And Floating Routes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routers, Wireshark, CLI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Day_64_Static_Default_And_Floating_Routes_Configuration/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Beyond_Networking_Internship\Day_64_Static_Default_And_Floating_Routes_Configuration\evidence, Beyond_Networking_Internship\Day_64_Static_Default_And_Floating_Routes_Configuration\notebooks, Beyond_Networking_Internship\Day_64_Static_Default_And_Floating_Routes_Configuration\src, Beyond_Networking_Internship\Day_64_Static_Default_And_Floating_Routes_Configuration\data, Beyond_Networking_Internship\Day_64_Static_Default_And_Floating_Routes_Configuration\output, Beyond_Networking_Internship\Day_64_Static_Default_And_Floating_Routes_Configuration\report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Beyond_Networking_Internship/Day_64_Static_Default_And_Floating_Routes_Configuration/{evidence,notebooks,src,data,output,report}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Static Default And Floating Routes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64 scope, prerequisite from Day 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routers, Wireshark, CLI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Day_064_static_default_and_floating_routes__configuration_lab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static default and floating routes,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day_64_lab.py — Guided laboratory: Static Default And Floating Routes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64 practical starter for Static Default And Floating Routes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'Static Default And Floating Routes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Static Default And Floating Routes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Static Default And Floating Routes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64 (Guided laboratory) on Static Default And Floating Routes — Configuration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