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12 STUDENT HANDBOOK</w:t>
      </w:r>
    </w:p>
    <w:p>
      <w:pPr>
        <w:jc w:val="center"/>
      </w:pPr>
      <w:r>
        <w:rPr>
          <w:b/>
          <w:color w:val="1E293B"/>
          <w:sz w:val="28"/>
        </w:rPr>
        <w:t>Resolution Aspect Ratio And Raster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test media, displays, video software, measurement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 objective  Complete the concept development for Resolution Aspect Ratio And Raster — Applied Baseline Lab: Complete a supervised applied lab for resolution aspect ratio and raster,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resolution aspect ratio and raster,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Resolution Aspect Ratio And Raster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Resolution Aspect Ratio And Raster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“Resolution Aspect Ratio And Raster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test media, displays, video software, measurement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test media, displays, video software, measurement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Day_12_Resolution_Aspect_Ratio_And_Raster_Applied_Basel/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Resolution Aspect Ratio And Raster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 scope, prerequisite from Day 11,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test media, displays, video software, measurement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Day_012_resolution_aspect_ratio_and_raster__applied_baseline_lab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resolution aspect ratio and raster,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Resolution Aspect Ratio And Raster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"Resolution Aspect Ratio And Raster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Resolution Aspect Ratio And Raster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Resolution Aspect Ratio And Raster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 (Concept development) on Resolution Aspect Ratio And Raster — Applied Baseline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