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13 STUDENT HANDBOOK</w:t>
      </w:r>
    </w:p>
    <w:p>
      <w:pPr>
        <w:jc w:val="center"/>
      </w:pPr>
      <w:r>
        <w:rPr>
          <w:b/>
          <w:color w:val="1E293B"/>
          <w:sz w:val="28"/>
        </w:rPr>
        <w:t>Frame Rate Scan And Motion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test media, displays, video software, measurement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 objective  Complete the guided laboratory for Frame Rate Scan And Motion — Architecture and Components: Explain and demonstrate frame rate scan and motion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frame rate scan and motion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Frame Rate Scan And Motion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Frame Rate Scan And Motion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“Frame Rate Scan And Motion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conversion → display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connectors/format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image / wrong EDID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Cable/format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Raster timing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Resolution, frame rate, aspect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Match source to display capability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Scaling artifacts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native timings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Trip/lift safety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 dress and approved lifts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Secure cables; approved stands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/ equipment drop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Site safety walk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test media, displays, video software, measurement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test media, displays, video software, measurement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Day_13_Frame_Rate_Scan_And_Motion_Architecture_and_Comp/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Frame Rate Scan And Motion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13 scope, prerequisite from Day 12,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test media, displays, video software, measurement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Day_013_frame_rate_scan_and_motion__architecture_and_components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frame rate scan and motion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Frame Rate Scan And Motion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"Frame Rate Scan And Motion — Architecture and Components"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Frame Rate Scan And Motion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Frame Rate Scan And Motion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 (Guided laboratory) on Frame Rate Scan And Motion — Architecture and Components.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