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24 STUDENT HANDBOOK</w:t>
      </w:r>
    </w:p>
    <w:p>
      <w:pPr>
        <w:jc w:val="center"/>
      </w:pPr>
      <w:r>
        <w:rPr>
          <w:b/>
          <w:color w:val="1E293B"/>
          <w:sz w:val="28"/>
        </w:rPr>
        <w:t>Sdi Bnc And Coax Standards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cables, testers, converters,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24 objective  Complete the guided laboratory for Sdi Bnc And Coax Standards — Configuration Lab: Complete a supervised applied lab for SDI BNC and coax standards,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SDI BNC and coax standards,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Sdi Bnc And Coax Standards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Sdi Bnc And Coax Standards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“Sdi Bnc And Coax Standards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cables, testers, converters,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cables, testers, converters,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Day_24_Sdi_Bnc_And_Coax_Standards_Configuration_Lab/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Sdi Bnc And Coax Standards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24 scope, prerequisite from Day 23,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cables, testers, converters,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Day_024_sdi_bnc_and_coax_standards__configuration_lab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SDI BNC and coax standards,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Sdi Bnc And Coax Standards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"Sdi Bnc And Coax Standards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Sdi Bnc And Coax Standards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Sdi Bnc And Coax Standards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24 (Guided laboratory) on Sdi Bnc And Coax Standards — Configuration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