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33 STUDENT HANDBOOK</w:t>
      </w:r>
    </w:p>
    <w:p>
      <w:pPr>
        <w:jc w:val="center"/>
      </w:pPr>
      <w:r>
        <w:rPr>
          <w:b/>
          <w:color w:val="1E293B"/>
          <w:sz w:val="28"/>
        </w:rPr>
        <w:t>Mechanical Alignment Locks And Safety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Beyond LED panels, approved frames/rigging, PPE, service 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33 objective  Complete the guided laboratory for Mechanical Alignment Locks And Safety — Architecture and Components: Explain and demonstrate mechanical alignment locks and safety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mechanical alignment locks and safety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Mechanical Alignment Locks And Safety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Mechanical Alignment Locks And Safety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“Mechanical Alignment Locks And Safety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Mechanical Alignment Locks And Safety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Beyond LED panels, approved frames/rigging, PPE, service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Beyond LED panels, approved frames/rigging, PPE, service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Day_33_Mechanical_Alignment_Locks_And_Safety_Architectu/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Mechanical Alignment Locks And Safety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33 scope, prerequisite from Day 32,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Beyond LED panels, approved frames/rigging, PPE, service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Day_033_mechanical_alignment_locks_and_safety__architecture_and_compon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mechanical alignment locks and safety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Mechanical Alignment Locks And Safety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"Mechanical Alignment Locks And Safety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Mechanical Alignment Locks And Safety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Mechanical Alignment Locks And Safety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33 (Guided laboratory) on Mechanical Alignment Locks And Safety — Architecture and Components.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