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42 STUDENT HANDBOOK</w:t>
      </w:r>
    </w:p>
    <w:p>
      <w:pPr>
        <w:jc w:val="center"/>
      </w:pPr>
      <w:r>
        <w:rPr>
          <w:b/>
          <w:color w:val="1E293B"/>
          <w:sz w:val="28"/>
        </w:rPr>
        <w:t>Sender Receiver And Processor Concepts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LED processor, configuration software, test patterns,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42 objective  Complete the concept development for Sender Receiver And Processor Concepts — Applied Baseline Lab: Complete a supervised applied lab for sender receiver and processor concepts,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sender receiver and processor concepts,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Sender Receiver And Processor Concepts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Sender Receiver And Processor Concepts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“Sender Receiver And Processor Concepts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Sender Receiver And Processor Concepts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LED processor, configuration software, test patterns,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LED processor, configuration software, test patterns,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Day_42_Sender_Receiver_And_Processor_Concepts_Applied_B/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Sender Receiver And Processor Concepts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42 scope, prerequisite from Day 41,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LED processor, configuration software, test patterns,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Day_042_sender_receiver_and_processor_concepts__applied_baseline_lab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sender receiver and processor concepts,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Sender Receiver And Processor Concepts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"Sender Receiver And Processor Concepts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Sender Receiver And Processor Concepts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Sender Receiver And Processor Concepts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42 (Concept development) on Sender Receiver And Processor Concepts — Applied Baseline Lab.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