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44 STUDENT HANDBOOK</w:t>
      </w:r>
    </w:p>
    <w:p>
      <w:pPr>
        <w:jc w:val="center"/>
      </w:pPr>
      <w:r>
        <w:rPr>
          <w:b/>
          <w:color w:val="1E293B"/>
          <w:sz w:val="28"/>
        </w:rPr>
        <w:t>Cabinet Mapping And Resolution Setup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LED processor, configuration software, test patterns,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44 objective  Complete the guided laboratory for Cabinet Mapping And Resolution Setup — Configuration Lab: Complete a supervised applied lab for cabinet mapping and resolution setup,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cabinet mapping and resolution setup,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Cabinet Mapping And Resolution Setup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Cabinet Mapping And Resolution Setup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“Cabinet Mapping And Resolution Setup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conversion → display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connectors/format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image / wrong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Cable/format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Raster timing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Resolution, frame rate, aspect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Match source to display capability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Scaling artifacts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native timings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Trip/lift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 dress and approved lifts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Secure cables; approved stands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/ equipment drop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Site safety walk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LED processor, configuration software, test patterns,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LED processor, configuration software, test patterns,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Day_44_Cabinet_Mapping_And_Resolution_Setup_Configurati/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Cabinet Mapping And Resolution Setup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44 scope, prerequisite from Day 43,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LED processor, configuration software, test patterns,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Day_044_cabinet_mapping_and_resolution_setup__configuration_lab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cabinet mapping and resolution setup,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Cabinet Mapping And Resolution Setup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"Cabinet Mapping And Resolution Setup — Configuration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day-44_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Cabinet Mapping And Resolution Setup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Cabinet Mapping And Resolution Setup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44 (Guided laboratory) on Cabinet Mapping And Resolution Setup — Configuration Lab.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