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50 STUDENT HANDBOOK</w:t>
      </w:r>
    </w:p>
    <w:p>
      <w:pPr>
        <w:jc w:val="center"/>
      </w:pPr>
      <w:r>
        <w:rPr>
          <w:b/>
          <w:color w:val="1E293B"/>
          <w:sz w:val="28"/>
        </w:rPr>
        <w:t>LED Processing and Configuration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LED processor, configuration software, test patterns,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50 objective  Complete the assessment and presentation for LED Processing and Configuration — Assessment Project: Plan, execute, verify, present, and safely close an assessment project covering the complete led processing and configuration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led processing and configuration phase.</w:t>
      </w:r>
    </w:p>
    <w:p>
      <w:pPr>
        <w:pStyle w:val="ListBullet"/>
      </w:pPr>
      <w:r>
        <w:rPr>
          <w:b w:val="0"/>
          <w:sz w:val="22"/>
        </w:rPr>
        <w:t>Explain LED Processing and Configuration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LED Processing and Configuration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“LED Processing and Configuration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LED processor, configuration software, test patterns,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LED processor, configuration software, test patterns,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Day_50_LED_Processing_and_Configuration_Assessment_Proj/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LED Processing and Configuration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50 scope, prerequisite from Day 49,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LED processor, configuration software, test patterns,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Day_050_led_processing_and_configuration__assessment_project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led processing and configuration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LED Processing and Configuration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"LED Processing and Configuration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LED Processing and Configuration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LED Processing and Configuration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50 (Assessment and presentation) on LED Processing and Configuration — Assessment Project.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