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53 STUDENT HANDBOOK</w:t>
      </w:r>
    </w:p>
    <w:p>
      <w:pPr>
        <w:jc w:val="center"/>
      </w:pPr>
      <w:r>
        <w:rPr>
          <w:b/>
          <w:color w:val="1E293B"/>
          <w:sz w:val="28"/>
        </w:rPr>
        <w:t>Brightness Contrast Ambient Light And Screens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screens, lenses,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53 objective  Complete the guided laboratory for Brightness Contrast Ambient Light And Screens — Architecture and Components: Explain and demonstrate brightness contrast ambient light and screens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brightness contrast ambient light and screens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Brightness Contrast Ambient Light And Screens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Brightness Contrast Ambient Light And Screens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“Brightness Contrast Ambient Light And Screens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screens, lenses,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screens, lenses,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Day_53_Brightness_Contrast_Ambient_Light_And_Screens_Ar/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Brightness Contrast Ambient Light And Screens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53 scope, prerequisite from Day 52,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screens, lenses,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Day_053_brightness_contrast_ambient_light_and_screens__architecture_an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brightness contrast ambient light and screens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Brightness Contrast Ambient Light And Screens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"Brightness Contrast Ambient Light And Screens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Brightness Contrast Ambient Light And Screens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Brightness Contrast Ambient Light And Screens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53 (Guided laboratory) on Brightness Contrast Ambient Light And Screens — Architecture and Components.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