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54 STUDENT HANDBOOK</w:t>
      </w:r>
    </w:p>
    <w:p>
      <w:pPr>
        <w:jc w:val="center"/>
      </w:pPr>
      <w:r>
        <w:rPr>
          <w:b/>
          <w:color w:val="1E293B"/>
          <w:sz w:val="28"/>
        </w:rPr>
        <w:t>Brightness Contrast Ambient Light And Screens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screens, lenses,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54 objective  Complete the guided laboratory for Brightness Contrast Ambient Light And Screens — Configuration Lab: Complete a supervised applied lab for brightness contrast ambient light and screens,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brightness contrast ambient light and screens,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Brightness Contrast Ambient Light And Screens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Brightness Contrast Ambient Light And Screens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“Brightness Contrast Ambient Light And Screens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screens, lenses,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screens, lenses,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Day_54_Brightness_Contrast_Ambient_Light_And_Screens_Co/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Brightness Contrast Ambient Light And Screens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54 scope, prerequisite from Day 53,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screens, lenses,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Day_054_brightness_contrast_ambient_light_and_screens__configuration_l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brightness contrast ambient light and screens,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Brightness Contrast Ambient Light And Screens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"Brightness Contrast Ambient Light And Screens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Brightness Contrast Ambient Light And Screens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Brightness Contrast Ambient Light And Screens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54 (Guided laboratory) on Brightness Contrast Ambient Light And Screens — Configuration Lab.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