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69 STUDENT HANDBOOK</w:t>
      </w:r>
    </w:p>
    <w:p>
      <w:pPr>
        <w:jc w:val="center"/>
      </w:pPr>
      <w:r>
        <w:rPr>
          <w:b/>
          <w:color w:val="1E293B"/>
          <w:sz w:val="28"/>
        </w:rPr>
        <w:t>Video Switching and Routing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video switcher, matrix/scaler, monitors, test generator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69 objective  Complete the integration and documentation for Video Switching and Routing — Integration, Documentation, and Handover: Integrate the four video switching and routing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video switching and routing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Video Switching and Routing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Video Switching and Routing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“Video Switching and Routing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video switcher, matrix/scaler, monitors, test generator.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video switcher, matrix/scaler, monitors, test generator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Day_69_Video_Switching_and_Routing_Integration_Document/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Video Switching and Routing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69 scope, prerequisite from Day 68,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video switcher, matrix/scaler, monitors, test generator.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Day_069_video_switching_and_routing__integration_documentation_and_han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video switching and routing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Video Switching and Routing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"Video Switching and Routing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Video Switching and Routing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Video Switching and Routing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69 (Integration and documentation) on Video Switching and Routing — Integration, Documentation, and Handover.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