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81 STUDENT HANDBOOK</w:t>
      </w:r>
    </w:p>
    <w:p>
      <w:pPr>
        <w:jc w:val="center"/>
      </w:pPr>
      <w:r>
        <w:rPr>
          <w:b/>
          <w:color w:val="1E293B"/>
          <w:sz w:val="28"/>
        </w:rPr>
        <w:t>Codecs Containers And Playback Compatibility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OBS/VLC/approved playback, graphics tools, switcher, stora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81 objective  Complete the orientation and setup for Codecs Containers And Playback Compatibility — Foundations and Vocabulary: Explain and demonstrate codecs containers and playback compatibility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codecs containers and playback compatibility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Codecs Containers And Playback Compatibility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Codecs Containers And Playback Compatibility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“Codecs Containers And Playback Compatibility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OBS/VLC/approved playback, graphics tools, switcher,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OBS/VLC/approved playback, graphics tools, switcher,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Day_81_Codecs_Containers_And_Playback_Compatibility_Fou/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Codecs Containers And Playback Compatibility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81 scope, prerequisite from Day 80,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OBS/VLC/approved playback, graphics tools, switcher,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Day_081_codecs_containers_and_playback_compatibility__foundations_and_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codecs containers and playback compatibility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Codecs Containers And Playback Compatibility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"Codecs Containers And Playback Compatibility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Codecs Containers And Playback Compatibility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Codecs Containers And Playback Compatibility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81 (Orientation and setup) on Codecs Containers And Playback Compatibility — Foundations and Vocabulary.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