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91 STUDENT HANDBOOK</w:t>
      </w:r>
    </w:p>
    <w:p>
      <w:pPr>
        <w:jc w:val="center"/>
      </w:pPr>
      <w:r>
        <w:rPr>
          <w:b/>
          <w:color w:val="1E293B"/>
          <w:sz w:val="28"/>
        </w:rPr>
        <w:t>Encoding Bitrate Resolution And Latency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OBS, capture device, local streaming lab, storage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91 objective  Complete the orientation and setup for Encoding Bitrate Resolution And Latency — Foundations and Vocabulary: Explain and demonstrate encoding bitrate resolution and latency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encoding bitrate resolution and latency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Encoding Bitrate Resolution And Latency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Encoding Bitrate Resolution And Latency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“Encoding Bitrate Resolution And Latency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OBS, capture device, local streaming lab, storage.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OBS, capture device, local streaming lab, storage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Day_91_Encoding_Bitrate_Resolution_And_Latency_Foundati/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Encoding Bitrate Resolution And Latency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91 scope, prerequisite from Day 90,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OBS, capture device, local streaming lab, storage.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Day_091_encoding_bitrate_resolution_and_latency__foundations_and_vocab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encoding bitrate resolution and latency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Encoding Bitrate Resolution And Latency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"Encoding Bitrate Resolution And Latency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Encoding Bitrate Resolution And Latency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Encoding Bitrate Resolution And Latency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91 (Orientation and setup) on Encoding Bitrate Resolution And Latency — Foundations and Vocabulary.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