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94 STUDENT HANDBOOK</w:t>
      </w:r>
    </w:p>
    <w:p>
      <w:pPr>
        <w:jc w:val="center"/>
      </w:pPr>
      <w:r>
        <w:rPr>
          <w:b/>
          <w:color w:val="1E293B"/>
          <w:sz w:val="28"/>
        </w:rPr>
        <w:t>Audio Embedding Synchronization And Monitoring — Configuration Lab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94 objective  Complete the guided laboratory for Audio Embedding Synchronization And Monitoring — Configuration Lab: Complete a supervised applied lab for audio embedding synchronization and monitoring,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audio embedding synchronization and monitoring,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Audio Embedding Synchronization And Monitoring — Configuration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Audio Embedding Synchronization And Monitoring — Configuration Lab.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“Audio Embedding Synchronization And Monitoring — Configuration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OBS, capture device, local streaming lab, storage.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OBS, capture device, local streaming lab, storage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Day_94_Audio_Embedding_Synchronization_And_Monitoring_C/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Audio Embedding Synchronization And Monitoring — Configuration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94 scope, prerequisite from Day 93,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OBS, capture device, local streaming lab, storage.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Day_094_audio_embedding_synchronization_and_monitoring__configuration_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audio embedding synchronization and monitoring,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94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Audio Embedding Synchronization And Monitoring — Configuration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"Audio Embedding Synchronization And Monitoring — Configuration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day-94_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Audio Embedding Synchronization And Monitoring — Configuration Lab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Audio Embedding Synchronization And Monitoring — Configuration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94 (Guided laboratory) on Audio Embedding Synchronization And Monitoring — Configuration Lab.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