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103 STUDENT HANDBOOK</w:t>
      </w:r>
    </w:p>
    <w:p>
      <w:pPr>
        <w:jc w:val="center"/>
      </w:pPr>
      <w:r>
        <w:rPr>
          <w:b/>
          <w:color w:val="1E293B"/>
          <w:sz w:val="28"/>
        </w:rPr>
        <w:t>Brightness Gamma White Point And Color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test generator, scopes/software, colorimeter where availab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103 objective  Complete the guided laboratory for Brightness Gamma White Point And Color — Architecture and Components: Explain and demonstrate brightness gamma white point and color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brightness gamma white point and color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Brightness Gamma White Point And Color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Brightness Gamma White Point And Color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“Brightness Gamma White Point And Color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Brightness Gamma White Point And Color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test generator, scopes/software, colorimeter where available, displays.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test generator, scopes/software, colorimeter where available, displays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Day_103_Brightness_Gamma_White_Point_And_Color_Architect/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Brightness Gamma White Point And Color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103 scope, prerequisite from Day 102,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test generator, scopes/software, colorimeter where available, displays.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Day_103_brightness_gamma_white_point_and_color__architecture_and_compo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brightness gamma white point and color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Brightness Gamma White Point And Color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"Brightness Gamma White Point And Color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Brightness Gamma White Point And Color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Brightness Gamma White Point And Color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103 (Guided laboratory) on Brightness Gamma White Point And Color — Architecture and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