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111 STUDENT HANDBOOK</w:t>
      </w:r>
    </w:p>
    <w:p>
      <w:pPr>
        <w:jc w:val="center"/>
      </w:pPr>
      <w:r>
        <w:rPr>
          <w:b/>
          <w:color w:val="1E293B"/>
          <w:sz w:val="28"/>
        </w:rPr>
        <w:t>Splitters Das Matrices And Routers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routers/DAs, fiber/copper tools, monitors,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111 objective  Complete the orientation and setup for Splitters Das Matrices And Routers — Foundations and Vocabulary: Explain and demonstrate splitters DAs matrices and routers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splitters DAs matrices and routers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Splitters Das Matrices And Routers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Splitters Das Matrices And Routers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“Splitters Das Matrices And Routers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Splitters Das Matrices And Routers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routers/DAs, fiber/copper tools, monitors,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routers/DAs, fiber/copper tools, monitors,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Day_111_Splitters_Das_Matrices_And_Routers_Foundations_a/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Splitters Das Matrices And Routers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111 scope, prerequisite from Day 110,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routers/DAs, fiber/copper tools, monitors,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Day_111_splitters_das_matrices_and_routers__foundations_and_vocabulary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splitters DAs matrices and routers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Splitters Das Matrices And Routers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"Splitters Das Matrices And Routers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Splitters Das Matrices And Routers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Splitters Das Matrices And Routers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111 (Orientation and setup) on Splitters Das Matrices And Routers — Foundations and Vocabulary.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