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114 STUDENT HANDBOOK</w:t>
      </w:r>
    </w:p>
    <w:p>
      <w:pPr>
        <w:jc w:val="center"/>
      </w:pPr>
      <w:r>
        <w:rPr>
          <w:b/>
          <w:color w:val="1E293B"/>
          <w:sz w:val="28"/>
        </w:rPr>
        <w:t>Primary Backup And Failover Paths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routers/DAs, fiber/copper tools, monitors,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114 objective  Complete the guided laboratory for Primary Backup And Failover Paths — Configuration Lab: Complete a supervised applied lab for primary backup and failover paths,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primary backup and failover paths,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Primary Backup And Failover Paths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Primary Backup And Failover Paths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“Primary Backup And Failover Paths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Primary Backup And Failover Paths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routers/DAs, fiber/copper tools, monitors,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routers/DAs, fiber/copper tools, monitors,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Day_114_Primary_Backup_And_Failover_Paths_Configuration_/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Primary Backup And Failover Paths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114 scope, prerequisite from Day 113,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routers/DAs, fiber/copper tools, monitors,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Day_114_primary_backup_and_failover_paths__configuration_lab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primary backup and failover paths,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Primary Backup And Failover Paths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"Primary Backup And Failover Paths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Primary Backup And Failover Paths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Primary Backup And Failover Paths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114 (Guided laboratory) on Primary Backup And Failover Paths — Configuration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