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119 STUDENT HANDBOOK</w:t>
      </w:r>
    </w:p>
    <w:p>
      <w:pPr>
        <w:jc w:val="center"/>
      </w:pPr>
      <w:r>
        <w:rPr>
          <w:b/>
          <w:color w:val="1E293B"/>
          <w:sz w:val="28"/>
        </w:rPr>
        <w:t>Signal Distribution and Redundancy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routers/DAs, fiber/copper tools, monitors,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119 objective  Complete the integration and documentation for Signal Distribution and Redundancy — Integration, Documentation, and Handover: Integrate the four signal distribution and redundancy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signal distribution and redundancy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Signal Distribution and Redundancy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Signal Distribution and Redundancy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“Signal Distribution and Redundancy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Signal Distribution and Redundancy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routers/DAs, fiber/copper tools, monitors,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routers/DAs, fiber/copper tools, monitors,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Day_119_Signal_Distribution_and_Redundancy_Integration_D/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Signal Distribution and Redundancy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119 scope, prerequisite from Day 118,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routers/DAs, fiber/copper tools, monitors,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Day_119_signal_distribution_and_redundancy__integration_documentation_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signal distribution and redundancy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Signal Distribution and Redundancy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"Signal Distribution and Redundancy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Signal Distribution and Redundancy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Signal Distribution and Redundancy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119 (Integration and documentation) on Signal Distribution and Redundancy — Integration, Documentation, and Handover.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