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127 STUDENT HANDBOOK</w:t>
      </w:r>
    </w:p>
    <w:p>
      <w:pPr>
        <w:jc w:val="center"/>
      </w:pPr>
      <w:r>
        <w:rPr>
          <w:b/>
          <w:color w:val="1E293B"/>
          <w:sz w:val="28"/>
        </w:rPr>
        <w:t>Latency Security Monitoring And Troubleshooting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managed switch lab, video-over-IP endpoints, Wireshark, te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127 objective  Complete the troubleshooting laboratory for Latency Security Monitoring And Troubleshooting — Troubleshooting and Failure Modes: Explain and demonstrate latency security monitoring and troubleshooting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latency security monitoring and troubleshooting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Latency Security Monitoring And Troubleshooting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Latency Security Monitoring And Troubleshooting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“Latency Security Monitoring And Troubleshooting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managed switch lab, video-over-IP endpoints, Wireshark,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managed switch lab, video-over-IP endpoints, Wireshark,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Day_127_Latency_Security_Monitoring_And_Troubleshooting_/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Latency Security Monitoring And Troubleshooting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127 scope, prerequisite from Day 126,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managed switch lab, video-over-IP endpoints, Wireshark, test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Day_127_latency_security_monitoring_and_troubleshooting__troubleshooti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latency security monitoring and troubleshooting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Latency Security Monitoring And Troubleshooting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"Latency Security Monitoring And Troubleshooting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Latency Security Monitoring And Troubleshooting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Latency Security Monitoring And Troubleshooting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127 (Troubleshooting laboratory) on Latency Security Monitoring And Troubleshooting — Troubleshooting and Failure Modes.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