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132 STUDENT HANDBOOK</w:t>
      </w:r>
    </w:p>
    <w:p>
      <w:pPr>
        <w:jc w:val="center"/>
      </w:pPr>
      <w:r>
        <w:rPr>
          <w:b/>
          <w:color w:val="1E293B"/>
          <w:sz w:val="28"/>
        </w:rPr>
        <w:t>Canvas Resolution And Content Zones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media server/software, LED processor, visualizer, test med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132 objective  Complete the concept development for Canvas Resolution And Content Zones — Applied Baseline Lab: Complete a supervised applied lab for canvas resolution and content zones,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canvas resolution and content zones,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Canvas Resolution And Content Zones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Canvas Resolution And Content Zones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“Canvas Resolution And Content Zones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media server/software, LED processor, visualizer, test media.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media server/software, LED processor, visualizer, test media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Day_132_Canvas_Resolution_And_Content_Zones_Applied_Base/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Canvas Resolution And Content Zones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132 scope, prerequisite from Day 131,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media server/software, LED processor, visualizer, test media.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Day_132_canvas_resolution_and_content_zones__applied_baseline_lab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canvas resolution and content zones,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Canvas Resolution And Content Zones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"Canvas Resolution And Content Zones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Canvas Resolution And Content Zones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Canvas Resolution And Content Zones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132 (Concept development) on Canvas Resolution And Content Zones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