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137 STUDENT HANDBOOK</w:t>
      </w:r>
    </w:p>
    <w:p>
      <w:pPr>
        <w:jc w:val="center"/>
      </w:pPr>
      <w:r>
        <w:rPr>
          <w:b/>
          <w:color w:val="1E293B"/>
          <w:sz w:val="28"/>
        </w:rPr>
        <w:t>Content Templates Safe Areas And Rehearsal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media server/software, LED processor, visualizer, test med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137 objective  Complete the troubleshooting laboratory for Content Templates Safe Areas And Rehearsal — Troubleshooting and Failure Modes: Explain and demonstrate content templates safe areas and rehearsal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content templates safe areas and rehearsal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Content Templates Safe Areas And Rehearsal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Content Templates Safe Areas And Rehearsal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“Content Templates Safe Areas And Rehearsal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Content Templates Safe Areas And Rehearsal — Troubleshooting and Failure Modes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media server/software, LED processor, visualizer, test media.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media server/software, LED processor, visualizer, test media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Day_137_Content_Templates_Safe_Areas_And_Rehearsal_Troub/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Content Templates Safe Areas And Rehearsal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137 scope, prerequisite from Day 136,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media server/software, LED processor, visualizer, test media.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Day_137_content_templates_safe_areas_and_rehearsal__troubleshooting_an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content templates safe areas and rehearsal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137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Content Templates Safe Areas And Rehearsal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Troubleshooting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"Content Templates Safe Areas And Rehearsal — Troubleshooting and Failure Modes"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day-137_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Content Templates Safe Areas And Rehearsal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Content Templates Safe Areas And Rehearsal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137 (Troubleshooting laboratory) on Content Templates Safe Areas And Rehearsal — Troubleshooting and Failure Modes.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