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153 STUDENT HANDBOOK</w:t>
      </w:r>
    </w:p>
    <w:p>
      <w:pPr>
        <w:jc w:val="center"/>
      </w:pPr>
      <w:r>
        <w:rPr>
          <w:b/>
          <w:color w:val="1E293B"/>
          <w:sz w:val="28"/>
        </w:rPr>
        <w:t>Flicker Artifacts Color And Sync Faults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video lab, testers, service tools,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153 objective  Complete the guided laboratory for Flicker Artifacts Color And Sync Faults — Architecture and Components: Explain and demonstrate flicker artifacts color and sync faults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flicker artifacts color and sync faults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Flicker Artifacts Color And Sync Faults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Flicker Artifacts Color And Sync Faults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“Flicker Artifacts Color And Sync Faults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Flicker Artifacts Color And Sync Faults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video lab, testers, service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video lab, testers, service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Day_153_Flicker_Artifacts_Color_And_Sync_Faults_Architec/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Flicker Artifacts Color And Sync Faults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153 scope, prerequisite from Day 152,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video lab, testers, service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Day_153_flicker_artifacts_color_and_sync_faults__architecture_and_comp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flicker artifacts color and sync faults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Flicker Artifacts Color And Sync Faults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"Flicker Artifacts Color And Sync Faults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Flicker Artifacts Color And Sync Faults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Flicker Artifacts Color And Sync Faults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153 (Guided laboratory) on Flicker Artifacts Color And Sync Faults — Architecture and Components.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