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Programming Foundations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assessment and presentation for Programming Foundations — Assessment Project: Plan, execute, verify, present, and safely close an assessment project covering the complete programming foundations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programming foundations phase.</w:t>
      </w:r>
    </w:p>
    <w:p>
      <w:pPr>
        <w:pStyle w:val="ListBullet"/>
      </w:pPr>
      <w:r>
        <w:rPr>
          <w:b w:val="0"/>
          <w:sz w:val="22"/>
        </w:rPr>
        <w:t>Explain Programming Foundations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Programming Foundations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“Programming Foundations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Programming Foundations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Day_20_Programming_Foundations_Assessment_Project/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Beyond_SoftwareDev_Internship\Day_20_Programming_Foundations_Assessment_Project\evidence, Beyond_SoftwareDev_Internship\Day_20_Programming_Foundations_Assessment_Project\notebooks, Beyond_SoftwareDev_Internship\Day_20_Programming_Foundations_Assessment_Project\src, Beyond_SoftwareDev_Internship\Day_20_Programming_Foundations_Assessment_Project\data, Beyond_SoftwareDev_Internship\Day_20_Programming_Foundations_Assessment_Project\output, Beyond_SoftwareDev_Internship\Day_20_Programming_Foundations_Assessment_Project\report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Beyond_SoftwareDev_Internship/Day_20_Programming_Foundations_Assessment_Project/{evidence,notebooks,src,data,output,report}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Programming Foundations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20 scope, prerequisite from Day 19,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Day_020_programming_foundations__assessment_project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programming foundations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Assessment and presentation: Programming Foundations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Programming Foundations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'Programming Foundations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Programming Foundations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Programming Foundations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(Assessment and presentation) on Programming Foundations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