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Routing Forms And Validation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guided laboratory for Routing Forms And Validation — Architecture and Components: Explain and demonstrate routing forms and validation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routing forms and validation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Routing Forms And Validation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Forms And Validation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Forms And Validation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React/Vue approved, Vite, Vitest/Jest,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Day_53_Routing_Forms_And_Validation_Architecture_and_Co/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Beyond_SoftwareDev_Internship\Day_53_Routing_Forms_And_Validation_Architecture_and_Co\evidence, Beyond_SoftwareDev_Internship\Day_53_Routing_Forms_And_Validation_Architecture_and_Co\notebooks, Beyond_SoftwareDev_Internship\Day_53_Routing_Forms_And_Validation_Architecture_and_Co\src, Beyond_SoftwareDev_Internship\Day_53_Routing_Forms_And_Validation_Architecture_and_Co\data, Beyond_SoftwareDev_Internship\Day_53_Routing_Forms_And_Validation_Architecture_and_Co\output, Beyond_SoftwareDev_Internship\Day_53_Routing_Forms_And_Validation_Architecture_and_Co\report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Beyond_SoftwareDev_Internship/Day_53_Routing_Forms_And_Validation_Architecture_and_Co/{evidence,notebooks,src,data,output,report}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Routing Forms And Validation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53 scope, prerequisite from Day 52,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React/Vue approved, Vite, Vitest/Jest,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Day_053_routing_forms_and_validation__architecture_and_components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routing forms and validation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Guided laboratory: Routing Forms And Validation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Routing Forms And Validation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Forms And Validation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Forms And Validation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Forms And Validation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(Guided laboratory) on Routing Forms And Validation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