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79 STUDENT HANDBOOK</w:t>
      </w:r>
    </w:p>
    <w:p>
      <w:pPr>
        <w:jc w:val="center"/>
      </w:pPr>
      <w:r>
        <w:rPr>
          <w:b/>
          <w:color w:val="1E293B"/>
          <w:sz w:val="28"/>
        </w:rPr>
        <w:t>Relational Databases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PostgreSQL/SQLite, SQL client, ORM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79 objective  Complete the integration and documentation for Relational Databases — Integration, Documentation, and Handover: Integrate the four relational databases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relational databases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Relational Databases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Relational Databases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“Relational Databases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PostgreSQL/SQLite, SQL client, ORM.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PostgreSQL/SQLite, SQL client, ORM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Day_79_Relational_Databases_Integration_Documentation_a/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Beyond_SoftwareDev_Internship\Day_79_Relational_Databases_Integration_Documentation_a\evidence, Beyond_SoftwareDev_Internship\Day_79_Relational_Databases_Integration_Documentation_a\notebooks, Beyond_SoftwareDev_Internship\Day_79_Relational_Databases_Integration_Documentation_a\src, Beyond_SoftwareDev_Internship\Day_79_Relational_Databases_Integration_Documentation_a\data, Beyond_SoftwareDev_Internship\Day_79_Relational_Databases_Integration_Documentation_a\output, Beyond_SoftwareDev_Internship\Day_79_Relational_Databases_Integration_Documentation_a\report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Beyond_SoftwareDev_Internship/Day_79_Relational_Databases_Integration_Documentation_a/{evidence,notebooks,src,data,output,report}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Relational Databases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79 scope, prerequisite from Day 78,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PostgreSQL/SQLite, SQL client, ORM.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Day_079_relational_databases__integration_documentation_and_handover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relational databases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day_79_lab.py — Integration and documentation: Relational Databases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79 practical starter for Relational Databases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'Relational Databases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Relational Databases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Relational Databases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79 (Integration and documentation) on Relational Databases — Integration, Documentation,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