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Caching Messaging And Consistency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applied practice for Caching Messaging And Consistency — Design and Technique: Explain and demonstrate caching messaging and consistency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caching messaging and consistency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Caching Messaging And Consistency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Caching Messaging And Consistency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“Caching Messaging And Consistency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Caching Messaging And Consistency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local Kubernetes optional, Redis/RabbitMQ local, OpenTelemetry.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Day_125_Caching_Messaging_And_Consistency_Design_and_Tec/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Beyond_SoftwareDev_Internship\Day_125_Caching_Messaging_And_Consistency_Design_and_Tec\evidence, Beyond_SoftwareDev_Internship\Day_125_Caching_Messaging_And_Consistency_Design_and_Tec\notebooks, Beyond_SoftwareDev_Internship\Day_125_Caching_Messaging_And_Consistency_Design_and_Tec\src, Beyond_SoftwareDev_Internship\Day_125_Caching_Messaging_And_Consistency_Design_and_Tec\data, Beyond_SoftwareDev_Internship\Day_125_Caching_Messaging_And_Consistency_Design_and_Tec\output, Beyond_SoftwareDev_Internship\Day_125_Caching_Messaging_And_Consistency_Design_and_Tec\report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Beyond_SoftwareDev_Internship/Day_125_Caching_Messaging_And_Consistency_Design_and_Tec/{evidence,notebooks,src,data,output,report}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Caching Messaging And Consistency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125 scope, prerequisite from Day 124,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local Kubernetes optional, Redis/RabbitMQ local, OpenTelemetry.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Day_125_caching_messaging_and_consistency__design_and_technique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caching messaging and consistency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day_125_lab.py — Applied practice: Caching Messaging And Consistency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125 practical starter for Caching Messaging And Consistency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'Caching Messaging And Consistency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Caching Messaging And Consistency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Caching Messaging And Consistency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(Applied practice) on Caching Messaging And Consistency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