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Caching Concurrency And Load Concepts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applied practice for Caching Concurrency And Load Concepts — Design and Technique: Explain and demonstrate caching concurrency and load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caching concurrency and load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Caching Concurrency And Load Concepts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Caching Concurrency And Load Concepts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“Caching Concurrency And Load Concepts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Caching Concurrency And Load Concepts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profilers, local load tools, monitoring stack.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Day_145_Caching_Concurrency_And_Load_Concepts_Design_and/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Beyond_SoftwareDev_Internship\Day_145_Caching_Concurrency_And_Load_Concepts_Design_and\evidence, Beyond_SoftwareDev_Internship\Day_145_Caching_Concurrency_And_Load_Concepts_Design_and\notebooks, Beyond_SoftwareDev_Internship\Day_145_Caching_Concurrency_And_Load_Concepts_Design_and\src, Beyond_SoftwareDev_Internship\Day_145_Caching_Concurrency_And_Load_Concepts_Design_and\data, Beyond_SoftwareDev_Internship\Day_145_Caching_Concurrency_And_Load_Concepts_Design_and\output, Beyond_SoftwareDev_Internship\Day_145_Caching_Concurrency_And_Load_Concepts_Design_and\report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Beyond_SoftwareDev_Internship/Day_145_Caching_Concurrency_And_Load_Concepts_Design_and/{evidence,notebooks,src,data,output,report}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Caching Concurrency And Load Concepts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145 scope, prerequisite from Day 144,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profilers, local load tools, monitoring stack.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Day_145_caching_concurrency_and_load_concepts__design_and_technique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caching concurrency and load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day_145_lab.py — Applied practice: Caching Concurrency And Load Concepts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145 practical starter for Caching Concurrency And Load Concepts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'Caching Concurrency And Load Concepts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Caching Concurrency And Load Concepts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Caching Concurrency And Load Concepts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(Applied practice) on Caching Concurrency And Load Concepts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