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Preprocessing Numeric and Categorical Features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guided laboratory for Preprocessing Numeric and Categorical Features: Build safe transformations fit only on training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safe transformations fit only on training data.</w:t>
      </w:r>
    </w:p>
    <w:p>
      <w:pPr>
        <w:pStyle w:val="ListBullet"/>
      </w:pPr>
      <w:r>
        <w:rPr>
          <w:b w:val="0"/>
          <w:sz w:val="22"/>
        </w:rPr>
        <w:t>Explain Preprocessing Numeric and Categorical Features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Preprocessing Numeric and Categorical Features.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“Preprocessing Numeric and Categorical Features”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Day_54_Preprocessing_Numeric_and_Categorical_Features/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Beyond_AI_Internship\Day_54_Preprocessing_Numeric_and_Categorical_Features\evidence, Beyond_AI_Internship\Day_54_Preprocessing_Numeric_and_Categorical_Features\notebooks, Beyond_AI_Internship\Day_54_Preprocessing_Numeric_and_Categorical_Features\src, Beyond_AI_Internship\Day_54_Preprocessing_Numeric_and_Categorical_Features\data, Beyond_AI_Internship\Day_54_Preprocessing_Numeric_and_Categorical_Features\output, Beyond_AI_Internship\Day_54_Preprocessing_Numeric_and_Categorical_Features\report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Beyond_AI_Internship/Day_54_Preprocessing_Numeric_and_Categorical_Features/{evidence,notebooks,src,data,output,report}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Preprocessing Numeric and Categorical Features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53 prerequisites and read the complete Day 54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Day_054_preprocessing_numeric_and_categorical_features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Build safe transformations fit only on training data.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Guided laboratory: Preprocessing Numeric and Categorical Features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Preprocessing Numeric and Categorical Features.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'Preprocessing Numeric and Categorical Features')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Preprocessing Numeric and Categorical Features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Preprocessing Numeric and Categorical Features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(Guided laboratory) on Preprocessing Numeric and Categorical Features.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