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Unsupervised Learning and Appropriate Use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Unsupervised Learning and Appropriate Use: Frame a discovery task without pretending clusters are ground truth.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Frame a discovery task without pretending clusters are ground truth.</w:t>
      </w:r>
    </w:p>
    <w:p>
      <w:pPr>
        <w:pStyle w:val="ListBullet"/>
      </w:pPr>
      <w:r>
        <w:rPr>
          <w:b w:val="0"/>
          <w:sz w:val="22"/>
        </w:rPr>
        <w:t>Explain Unsupervised Learning and Appropriate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Unsupervised Learning and Appropriate Use.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“Unsupervised Learning and Appropriate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Unsupervised Learning and Appropriate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Day_71_Unsupervised_Learning_and_Appropriate_Use/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Beyond_AI_Internship\Day_71_Unsupervised_Learning_and_Appropriate_Use\evidence, Beyond_AI_Internship\Day_71_Unsupervised_Learning_and_Appropriate_Use\notebooks, Beyond_AI_Internship\Day_71_Unsupervised_Learning_and_Appropriate_Use\src, Beyond_AI_Internship\Day_71_Unsupervised_Learning_and_Appropriate_Use\data, Beyond_AI_Internship\Day_71_Unsupervised_Learning_and_Appropriate_Use\output, Beyond_AI_Internship\Day_71_Unsupervised_Learning_and_Appropriate_Use\report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Beyond_AI_Internship/Day_71_Unsupervised_Learning_and_Appropriate_Use/{evidence,notebooks,src,data,output,report}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Unsupervised Learning and Appropriate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70 prerequisites and read the complete Day 71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Day_071_unsupervised_learning_and_appropriate_use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Frame a discovery task without pretending clusters are ground truth.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Orientation and setup: Unsupervised Learning and Appropriate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Unsupervised Learning and Appropriate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'Unsupervised Learning and Appropriate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Unsupervised Learning and Appropriate Use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Unsupervised Learning and Appropriate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Unsupervised Learning and Appropriate Use.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