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Loss Functions and Gradient Descent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guided laboratory for Loss Functions and Gradient Descent: Train a one-parameter example and track loss reduction.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Train a one-parameter example and track loss reduction.</w:t>
      </w:r>
    </w:p>
    <w:p>
      <w:pPr>
        <w:pStyle w:val="ListBullet"/>
      </w:pPr>
      <w:r>
        <w:rPr>
          <w:b w:val="0"/>
          <w:sz w:val="22"/>
        </w:rPr>
        <w:t>Explain Loss Functions and Gradient Descent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Loss Functions and Gradient Descent.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“Loss Functions and Gradient Descent”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Loss Functions and Gradient Descent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Day_84_Loss_Functions_and_Gradient_Descent/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Beyond_AI_Internship\Day_84_Loss_Functions_and_Gradient_Descent\evidence, Beyond_AI_Internship\Day_84_Loss_Functions_and_Gradient_Descent\notebooks, Beyond_AI_Internship\Day_84_Loss_Functions_and_Gradient_Descent\src, Beyond_AI_Internship\Day_84_Loss_Functions_and_Gradient_Descent\data, Beyond_AI_Internship\Day_84_Loss_Functions_and_Gradient_Descent\output, Beyond_AI_Internship\Day_84_Loss_Functions_and_Gradient_Descent\report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Beyond_AI_Internship/Day_84_Loss_Functions_and_Gradient_Descent/{evidence,notebooks,src,data,output,report}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Loss Functions and Gradient Descent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83 prerequisites and read the complete Day 84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Day_084_loss_functions_and_gradient_descent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Train a one-parameter example and track loss reduction.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Guided laboratory: Loss Functions and Gradient Descent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Loss Functions and Gradient Descent.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'Loss Functions and Gradient Descent')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Loss Functions and Gradient Descent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Loss Functions and Gradient Descent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(Guided laboratory) on Loss Functions and Gradient Descent.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