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Word and Sentence Embeddings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scikit-learn, spaCy/NLTK, Hugging Face Transformers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applied practice for Word and Sentence Embeddings: Compare semantic similarity using approved pretrained embeddings.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Compare semantic similarity using approved pretrained embeddings.</w:t>
      </w:r>
    </w:p>
    <w:p>
      <w:pPr>
        <w:pStyle w:val="ListBullet"/>
      </w:pPr>
      <w:r>
        <w:rPr>
          <w:b w:val="0"/>
          <w:sz w:val="22"/>
        </w:rPr>
        <w:t>Explain Word and Sentence Embeddings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Word and Sentence Embeddings.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“Word and Sentence Embeddings”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Word and Sentence Embeddings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scikit-learn, spaCy/NLTK, Hugging Face Transformers.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scikit-learn, spaCy/NLTK, Hugging Face Transformers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Day_106_Word_and_Sentence_Embeddings/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Beyond_AI_Internship\Day_106_Word_and_Sentence_Embeddings\evidence, Beyond_AI_Internship\Day_106_Word_and_Sentence_Embeddings\notebooks, Beyond_AI_Internship\Day_106_Word_and_Sentence_Embeddings\src, Beyond_AI_Internship\Day_106_Word_and_Sentence_Embeddings\data, Beyond_AI_Internship\Day_106_Word_and_Sentence_Embeddings\output, Beyond_AI_Internship\Day_106_Word_and_Sentence_Embeddings\report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Beyond_AI_Internship/Day_106_Word_and_Sentence_Embeddings/{evidence,notebooks,src,data,output,report}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Word and Sentence Embeddings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105 prerequisites and read the complete Day 106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Day_106_word_and_sentence_embeddings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Compare semantic similarity using approved pretrained embeddings.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day_106_lab.py — Applied practice: Word and Sentence Embeddings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106 practical starter for Word and Sentence Embeddings.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'Word and Sentence Embeddings')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Word and Sentence Embeddings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Word and Sentence Embeddings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(Applied practice) on Word and Sentence Embeddings.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