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Chunking Strategies and Context Preservation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guided laboratory for Chunking Strategies and Context Preservation: Compare chunk sizes and overlap on retrieval quality.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chunk sizes and overlap on retrieval quality.</w:t>
      </w:r>
    </w:p>
    <w:p>
      <w:pPr>
        <w:pStyle w:val="ListBullet"/>
      </w:pPr>
      <w:r>
        <w:rPr>
          <w:b w:val="0"/>
          <w:sz w:val="22"/>
        </w:rPr>
        <w:t>Explain Chunking Strategies and Context Preservation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Chunking Strategies and Context Preservation.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“Chunking Strategies and Context Preservation”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Chunking Strategies and Context Preservation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Day_124_Chunking_Strategies_and_Context_Preservation/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Beyond_AI_Internship\Day_124_Chunking_Strategies_and_Context_Preservation\evidence, Beyond_AI_Internship\Day_124_Chunking_Strategies_and_Context_Preservation\notebooks, Beyond_AI_Internship\Day_124_Chunking_Strategies_and_Context_Preservation\src, Beyond_AI_Internship\Day_124_Chunking_Strategies_and_Context_Preservation\data, Beyond_AI_Internship\Day_124_Chunking_Strategies_and_Context_Preservation\output, Beyond_AI_Internship\Day_124_Chunking_Strategies_and_Context_Preservation\report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Beyond_AI_Internship/Day_124_Chunking_Strategies_and_Context_Preservation/{evidence,notebooks,src,data,output,report}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Chunking Strategies and Context Preservation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123 prerequisites and read the complete Day 124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Day_124_chunking_strategies_and_context_preservation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chunk sizes and overlap on retrieval quality.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Guided laboratory: Chunking Strategies and Context Preservation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Chunking Strategies and Context Preservation.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'Chunking Strategies and Context Preservation')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Chunking Strategies and Context Preservation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Chunking Strategies and Context Preservation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(Guided laboratory) on Chunking Strategies and Context Preservation.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