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Building a Local Vector Index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applied practice for Building a Local Vector Index: Create and query a disposable local index.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and query a disposable local index.</w:t>
      </w:r>
    </w:p>
    <w:p>
      <w:pPr>
        <w:pStyle w:val="ListBullet"/>
      </w:pPr>
      <w:r>
        <w:rPr>
          <w:b w:val="0"/>
          <w:sz w:val="22"/>
        </w:rPr>
        <w:t>Explain Building a Local Vector Index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Building a Local Vector Index.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“Building a Local Vector Index”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Building a Local Vector Index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Day_125_Building_a_Local_Vector_Index/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Beyond_AI_Internship\Day_125_Building_a_Local_Vector_Index\evidence, Beyond_AI_Internship\Day_125_Building_a_Local_Vector_Index\notebooks, Beyond_AI_Internship\Day_125_Building_a_Local_Vector_Index\src, Beyond_AI_Internship\Day_125_Building_a_Local_Vector_Index\data, Beyond_AI_Internship\Day_125_Building_a_Local_Vector_Index\output, Beyond_AI_Internship\Day_125_Building_a_Local_Vector_Index\report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Beyond_AI_Internship/Day_125_Building_a_Local_Vector_Index/{evidence,notebooks,src,data,output,report}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Building a Local Vector Index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124 prerequisites and read the complete Day 125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Day_125_building_a_local_vector_index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Create and query a disposable local index.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Applied practice: Building a Local Vector Index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Building a Local Vector Index.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'Building a Local Vector Index')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Building a Local Vector Index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Building a Local Vector Index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(Applied practice) on Building a Local Vector Index.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