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Responsible RAG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Responsible RAG Assessment Project: Deliver a cited knowledge assistant with access and injection controls.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complete reproducible project package, evaluation evidence, safety/ethics review,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 cited knowledge assistant with access and injection controls.</w:t>
      </w:r>
    </w:p>
    <w:p>
      <w:pPr>
        <w:pStyle w:val="ListBullet"/>
      </w:pPr>
      <w:r>
        <w:rPr>
          <w:b w:val="0"/>
          <w:sz w:val="22"/>
        </w:rPr>
        <w:t>Explain Responsible RAG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Responsible RAG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“Responsible RAG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Day_130_Responsible_RAG_Assessment_Project/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Beyond_AI_Internship\Day_130_Responsible_RAG_Assessment_Project\evidence, Beyond_AI_Internship\Day_130_Responsible_RAG_Assessment_Project\notebooks, Beyond_AI_Internship\Day_130_Responsible_RAG_Assessment_Project\src, Beyond_AI_Internship\Day_130_Responsible_RAG_Assessment_Project\data, Beyond_AI_Internship\Day_130_Responsible_RAG_Assessment_Project\output, Beyond_AI_Internship\Day_130_Responsible_RAG_Assessment_Project\report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Beyond_AI_Internship/Day_130_Responsible_RAG_Assessment_Project/{evidence,notebooks,src,data,output,report}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Responsible RAG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129 prerequisites and read the complete Day 130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Day_130_responsible_rag_assessment_project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Deliver a cited knowledge assistant with access and injection controls.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Assessment and presentation: Responsible RAG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Responsible RAG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'Responsible RAG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Responsible RAG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complete reproducible project package, evaluation evidence, safety/ethics review,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Responsible RAG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Responsible RAG Assessment Project.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