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Implementation Sprint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applied practice for Capstone Implementation Sprint: Build the minimum validated end-to-end workflow.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the minimum validated end-to-end workflow.</w:t>
      </w:r>
    </w:p>
    <w:p>
      <w:pPr>
        <w:pStyle w:val="ListBullet"/>
      </w:pPr>
      <w:r>
        <w:rPr>
          <w:b w:val="0"/>
          <w:sz w:val="22"/>
        </w:rPr>
        <w:t>Explain Capstone Implementation Sprint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Implementation Sprint.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Implementation Sprint”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Implementation Sprint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Day_176_Capstone_Implementation_Sprint/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Beyond_AI_Internship\Day_176_Capstone_Implementation_Sprint\evidence, Beyond_AI_Internship\Day_176_Capstone_Implementation_Sprint\notebooks, Beyond_AI_Internship\Day_176_Capstone_Implementation_Sprint\src, Beyond_AI_Internship\Day_176_Capstone_Implementation_Sprint\data, Beyond_AI_Internship\Day_176_Capstone_Implementation_Sprint\output, Beyond_AI_Internship\Day_176_Capstone_Implementation_Sprint\report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Beyond_AI_Internship/Day_176_Capstone_Implementation_Sprint/{evidence,notebooks,src,data,output,report}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Capstone Implementation Sprint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175 prerequisites and read the complete Day 176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Day_176_capstone_implementation_sprint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Build the minimum validated end-to-end workflow.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Applied practice: Capstone Implementation Sprint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Capstone Implementation Sprint.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Implementation Sprint')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Implementation Sprint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Implementation Sprint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(Applied practice) on Capstone Implementation Sprint.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