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am deeply grateful to my advisor, Rob Goldstone, for his nearly limitless patience, clear thinking, and unwavering guidance. His ability to effortlessly demonstrate the power of so many tools has been awe-inspiring, and I am forever thankful for his mentorship. I also extend my heartfelt thanks to Dr. Rob Nosofsky for his sharp questions and encouragement of model-based thinking, and to Dr. Peter Todd for being a constant source of encouragement.</w:t>
      </w:r>
    </w:p>
    <w:p>
      <w:pPr>
        <w:pStyle w:val="BodyText"/>
      </w:pPr>
      <w:r>
        <w:t xml:space="preserve">My foundation in psychological science was laid at the University of Wisconsin-Madison. I am indebted to Dr. Shawn Green, who took a chance on me despite my mediocre grades and lack of experience, introducing me to the world of psychological research. Special thanks to Aaron Cochrane for answering my countless questions, introducing me to R, and advanced data analysis techniques.</w:t>
      </w:r>
    </w:p>
    <w:p>
      <w:pPr>
        <w:pStyle w:val="BodyText"/>
      </w:pPr>
      <w:r>
        <w:t xml:space="preserve">I am grateful for the camaraderie and intellectual stimulation provided by my friends at Indiana University, particularly those in the Geolab and Psychology department. Johnathan Avery, Eleanor Schille-Hudson, Mahi Luthra, Dan Levitas, Sam Nordli, Brad Rogers, Marina Dubova, Eeshan Hasan, and many others have been integral to my graduate school experience. A special mention goes to Jack Avery for introducing me to rock climbing and engaging in fun conversations that often led to unexpected ideas.</w:t>
      </w:r>
    </w:p>
    <w:p>
      <w:pPr>
        <w:pStyle w:val="BodyText"/>
      </w:pPr>
      <w:r>
        <w:t xml:space="preserve">The teachers at Pardeeville High School played an essential role in nurturing my curiosity and establishing the educational foundation that shaped my early learning. The professors at UW-Madison and Indiana University further cultivated that curiosity, profoundly influencing my academic development.</w:t>
      </w:r>
    </w:p>
    <w:p>
      <w:pPr>
        <w:pStyle w:val="BodyText"/>
      </w:pPr>
      <w:r>
        <w:t xml:space="preserve">I would also like to extend my heartfelt thanks to my family. My parents, Mary and Jim Gorman, have always been a source of love and unwavering belief in my abilities. My brother, Joseph,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pPr>
        <w:pStyle w:val="BodyText"/>
      </w:pPr>
      <w:r>
        <w:t xml:space="preserve">Researchers and educators have long been interested in how the variability of training examples experienced</w:t>
      </w:r>
      <w:r>
        <w:t xml:space="preserve"> </w:t>
      </w:r>
      <w:r>
        <w:t xml:space="preserve">during learning influences subsequent generalization. However, previous studies have reported both beneficial</w:t>
      </w:r>
      <w:r>
        <w:t xml:space="preserve"> </w:t>
      </w:r>
      <w:r>
        <w:t xml:space="preserve">and detrimental effects, leaving the nature of this relationship unclear. Furthermore, a formal computational</w:t>
      </w:r>
      <w:r>
        <w:t xml:space="preserve"> </w:t>
      </w:r>
      <w:r>
        <w:t xml:space="preserve">modeling approach to account for the effects of training variability has been largely lacking within the domain of</w:t>
      </w:r>
      <w:r>
        <w:t xml:space="preserve"> </w:t>
      </w:r>
      <w:r>
        <w:t xml:space="preserve">visuomotor skill learning. The current work presents two projects which shed light on this issue, each consisting of</w:t>
      </w:r>
      <w:r>
        <w:t xml:space="preserve"> </w:t>
      </w:r>
      <w:r>
        <w:t xml:space="preserve">several experiments which compare varied training (i.e., multiple training items) in comparison to constant</w:t>
      </w:r>
      <w:r>
        <w:t xml:space="preserve"> </w:t>
      </w:r>
      <w:r>
        <w:t xml:space="preserve">training (training with a single item).</w:t>
      </w:r>
      <w:r>
        <w:t xml:space="preserve"> </w:t>
      </w:r>
      <w:r>
        <w:t xml:space="preserve">The empirical results, much like those of the broader literature, provide evidence both for and against a benefit of</w:t>
      </w:r>
      <w:r>
        <w:t xml:space="preserve"> </w:t>
      </w:r>
      <w:r>
        <w:t xml:space="preserve">variable training in visuomotor skill learning, highlighting the complex interplay between training conditions and</w:t>
      </w:r>
      <w:r>
        <w:t xml:space="preserve"> </w:t>
      </w:r>
      <w:r>
        <w:t xml:space="preserve">generalization performance. To provide a theoretical account of these findings, this dissertation employs both</w:t>
      </w:r>
      <w:r>
        <w:t xml:space="preserve"> </w:t>
      </w:r>
      <w:r>
        <w:t xml:space="preserve">instance-based and connectionist computational modeling approaches. The instance-based modeling approach</w:t>
      </w:r>
      <w:r>
        <w:t xml:space="preserve"> </w:t>
      </w:r>
      <w:r>
        <w:t xml:space="preserve">introduced in project 1 provides a theoretically justifiable method of quantifying/controlling for similarity</w:t>
      </w:r>
      <w:r>
        <w:t xml:space="preserve"> </w:t>
      </w:r>
      <w:r>
        <w:t xml:space="preserve">between training and testing conditions, while also demonstrating that varied training may induce broader</w:t>
      </w:r>
      <w:r>
        <w:t xml:space="preserve"> </w:t>
      </w:r>
      <w:r>
        <w:t xml:space="preserve">generalization in the similarity function relating training and test items. In project 2, the Extrapolation-</w:t>
      </w:r>
      <w:r>
        <w:t xml:space="preserve"> </w:t>
      </w:r>
      <w:r>
        <w:t xml:space="preserve">Association Model (EXAM) provided the best account of the testing data across all experiments, capturing the</w:t>
      </w:r>
      <w:r>
        <w:t xml:space="preserve"> </w:t>
      </w:r>
      <w:r>
        <w:t xml:space="preserve">constant groups’ ability to extrapolate linearly to novel regions despite limited training experience, while also</w:t>
      </w:r>
      <w:r>
        <w:t xml:space="preserve"> </w:t>
      </w:r>
      <w:r>
        <w:t xml:space="preserve">revealing potential detriments of varied training for simple extrapolation tasks.</w:t>
      </w:r>
      <w:r>
        <w:t xml:space="preserve"> </w:t>
      </w:r>
      <w:r>
        <w:t xml:space="preserve">By integrating empirical findings with computational modeling approaches, this dissertation sheds light on the</w:t>
      </w:r>
      <w:r>
        <w:t xml:space="preserve"> </w:t>
      </w:r>
      <w:r>
        <w:t xml:space="preserve">complex relationship between training variability and generalization performance.</w:t>
      </w:r>
    </w:p>
    <w:p>
      <w:r>
        <w:br w:type="page"/>
      </w:r>
    </w:p>
    <w:p>
      <w:r>
        <w:br w:type="page"/>
      </w:r>
    </w:p>
    <w:bookmarkEnd w:id="20"/>
    <w:bookmarkEnd w:id="21"/>
    <w:bookmarkStart w:id="23"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r>
        <w:br w:type="page"/>
      </w:r>
    </w:p>
    <w:bookmarkEnd w:id="22"/>
    <w:bookmarkEnd w:id="23"/>
    <w:bookmarkStart w:id="117" w:name="references"/>
    <w:p>
      <w:pPr>
        <w:pStyle w:val="Heading1"/>
      </w:pPr>
      <w:r>
        <w:t xml:space="preserve">References</w:t>
      </w:r>
    </w:p>
    <w:bookmarkStart w:id="116" w:name="refs"/>
    <w:bookmarkStart w:id="25"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24">
        <w:r>
          <w:rPr>
            <w:rStyle w:val="Hyperlink"/>
          </w:rPr>
          <w:t xml:space="preserve">https://doi.org/10.1016/j.cub.2009.01.036</w:t>
        </w:r>
      </w:hyperlink>
    </w:p>
    <w:bookmarkEnd w:id="25"/>
    <w:bookmarkStart w:id="27"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26">
        <w:r>
          <w:rPr>
            <w:rStyle w:val="Hyperlink"/>
          </w:rPr>
          <w:t xml:space="preserve">https://doi.org/10.1016/j.jml.2022.104352</w:t>
        </w:r>
      </w:hyperlink>
    </w:p>
    <w:bookmarkEnd w:id="27"/>
    <w:bookmarkStart w:id="29"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28">
        <w:r>
          <w:rPr>
            <w:rStyle w:val="Hyperlink"/>
          </w:rPr>
          <w:t xml:space="preserve">https://doi.org/10.1016/j.actpsy.2012.04.002</w:t>
        </w:r>
      </w:hyperlink>
    </w:p>
    <w:bookmarkEnd w:id="29"/>
    <w:bookmarkStart w:id="31"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30">
        <w:r>
          <w:rPr>
            <w:rStyle w:val="Hyperlink"/>
          </w:rPr>
          <w:t xml:space="preserve">https://doi.org/10.1111/cogs.12231</w:t>
        </w:r>
      </w:hyperlink>
    </w:p>
    <w:bookmarkEnd w:id="31"/>
    <w:bookmarkStart w:id="33"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32">
        <w:r>
          <w:rPr>
            <w:rStyle w:val="Hyperlink"/>
          </w:rPr>
          <w:t xml:space="preserve">https://doi.org/10.3389/fpsyg.2021.639131</w:t>
        </w:r>
      </w:hyperlink>
    </w:p>
    <w:bookmarkEnd w:id="33"/>
    <w:bookmarkStart w:id="35"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34">
        <w:r>
          <w:rPr>
            <w:rStyle w:val="Hyperlink"/>
          </w:rPr>
          <w:t xml:space="preserve">https://doi.org/10.1016/j.brat.2022.104201</w:t>
        </w:r>
      </w:hyperlink>
    </w:p>
    <w:bookmarkEnd w:id="35"/>
    <w:bookmarkStart w:id="37"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36">
        <w:r>
          <w:rPr>
            <w:rStyle w:val="Hyperlink"/>
          </w:rPr>
          <w:t xml:space="preserve">https://doi.org/10.1371/journal.pcbi.1003425</w:t>
        </w:r>
      </w:hyperlink>
    </w:p>
    <w:bookmarkEnd w:id="37"/>
    <w:bookmarkStart w:id="39"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38">
        <w:r>
          <w:rPr>
            <w:rStyle w:val="Hyperlink"/>
          </w:rPr>
          <w:t xml:space="preserve">https://doi.org/10.3758/s13414-021-02338-6</w:t>
        </w:r>
      </w:hyperlink>
    </w:p>
    <w:bookmarkEnd w:id="39"/>
    <w:bookmarkStart w:id="41"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40">
        <w:r>
          <w:rPr>
            <w:rStyle w:val="Hyperlink"/>
          </w:rPr>
          <w:t xml:space="preserve">https://doi.org/10.3758/s13423-023-02252-y</w:t>
        </w:r>
      </w:hyperlink>
    </w:p>
    <w:bookmarkEnd w:id="41"/>
    <w:bookmarkStart w:id="43"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42">
        <w:r>
          <w:rPr>
            <w:rStyle w:val="Hyperlink"/>
          </w:rPr>
          <w:t xml:space="preserve">https://doi.org/10.1080/20445911.2011.507187</w:t>
        </w:r>
      </w:hyperlink>
    </w:p>
    <w:bookmarkEnd w:id="43"/>
    <w:bookmarkStart w:id="45"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44">
        <w:r>
          <w:rPr>
            <w:rStyle w:val="Hyperlink"/>
          </w:rPr>
          <w:t xml:space="preserve">https://doi.org/10.3758/PBR.15.3.662</w:t>
        </w:r>
      </w:hyperlink>
    </w:p>
    <w:bookmarkEnd w:id="45"/>
    <w:bookmarkStart w:id="47"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46">
        <w:r>
          <w:rPr>
            <w:rStyle w:val="Hyperlink"/>
          </w:rPr>
          <w:t xml:space="preserve">https://doi.org/10.2466/pms.1995.81.3f.1275</w:t>
        </w:r>
      </w:hyperlink>
    </w:p>
    <w:bookmarkEnd w:id="47"/>
    <w:bookmarkStart w:id="49"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48">
        <w:r>
          <w:rPr>
            <w:rStyle w:val="Hyperlink"/>
          </w:rPr>
          <w:t xml:space="preserve">https://doi.org/10.1371/journal.pone.0269794</w:t>
        </w:r>
      </w:hyperlink>
    </w:p>
    <w:bookmarkEnd w:id="49"/>
    <w:bookmarkStart w:id="51"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50">
        <w:r>
          <w:rPr>
            <w:rStyle w:val="Hyperlink"/>
          </w:rPr>
          <w:t xml:space="preserve">https://doi.org/10.3758/BF03195318</w:t>
        </w:r>
      </w:hyperlink>
    </w:p>
    <w:bookmarkEnd w:id="51"/>
    <w:bookmarkStart w:id="53"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52">
        <w:r>
          <w:rPr>
            <w:rStyle w:val="Hyperlink"/>
          </w:rPr>
          <w:t xml:space="preserve">https://doi.org/10.1016/j.visres.2022.108128</w:t>
        </w:r>
      </w:hyperlink>
    </w:p>
    <w:bookmarkEnd w:id="53"/>
    <w:bookmarkStart w:id="55"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54">
        <w:r>
          <w:rPr>
            <w:rStyle w:val="Hyperlink"/>
          </w:rPr>
          <w:t xml:space="preserve">https://doi.org/10.1037/a0024386</w:t>
        </w:r>
      </w:hyperlink>
    </w:p>
    <w:bookmarkEnd w:id="55"/>
    <w:bookmarkStart w:id="57"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56">
        <w:r>
          <w:rPr>
            <w:rStyle w:val="Hyperlink"/>
          </w:rPr>
          <w:t xml:space="preserve">https://doi.org/10.1111/cogs.12812</w:t>
        </w:r>
      </w:hyperlink>
    </w:p>
    <w:bookmarkEnd w:id="57"/>
    <w:bookmarkStart w:id="59"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58">
        <w:r>
          <w:rPr>
            <w:rStyle w:val="Hyperlink"/>
          </w:rPr>
          <w:t xml:space="preserve">https://doi.org/10.1167/9.7.16</w:t>
        </w:r>
      </w:hyperlink>
    </w:p>
    <w:bookmarkEnd w:id="59"/>
    <w:bookmarkStart w:id="61"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60">
        <w:r>
          <w:rPr>
            <w:rStyle w:val="Hyperlink"/>
          </w:rPr>
          <w:t xml:space="preserve">https://doi.org/10.1177/003151257804600201</w:t>
        </w:r>
      </w:hyperlink>
    </w:p>
    <w:bookmarkEnd w:id="61"/>
    <w:bookmarkStart w:id="63"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62">
        <w:r>
          <w:rPr>
            <w:rStyle w:val="Hyperlink"/>
          </w:rPr>
          <w:t xml:space="preserve">https://doi.org/10.1037/rev0000160</w:t>
        </w:r>
      </w:hyperlink>
    </w:p>
    <w:bookmarkEnd w:id="63"/>
    <w:bookmarkStart w:id="65"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64">
        <w:r>
          <w:rPr>
            <w:rStyle w:val="Hyperlink"/>
          </w:rPr>
          <w:t xml:space="preserve">https://doi.org/10.1016/j.cognition.2019.104026</w:t>
        </w:r>
      </w:hyperlink>
    </w:p>
    <w:bookmarkEnd w:id="65"/>
    <w:bookmarkStart w:id="67"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66">
        <w:r>
          <w:rPr>
            <w:rStyle w:val="Hyperlink"/>
          </w:rPr>
          <w:t xml:space="preserve">https://doi.org/10.1177/1747021819857065</w:t>
        </w:r>
      </w:hyperlink>
    </w:p>
    <w:bookmarkEnd w:id="67"/>
    <w:bookmarkStart w:id="69"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68">
        <w:r>
          <w:rPr>
            <w:rStyle w:val="Hyperlink"/>
          </w:rPr>
          <w:t xml:space="preserve">https://doi.org/10.1521/soco.1993.11.1.92</w:t>
        </w:r>
      </w:hyperlink>
    </w:p>
    <w:bookmarkEnd w:id="69"/>
    <w:bookmarkStart w:id="71"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70">
        <w:r>
          <w:rPr>
            <w:rStyle w:val="Hyperlink"/>
          </w:rPr>
          <w:t xml:space="preserve">https://doi.org/10.1177/1747021817739832</w:t>
        </w:r>
      </w:hyperlink>
    </w:p>
    <w:bookmarkEnd w:id="71"/>
    <w:bookmarkStart w:id="73"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72">
        <w:r>
          <w:rPr>
            <w:rStyle w:val="Hyperlink"/>
          </w:rPr>
          <w:t xml:space="preserve">https://doi.org/10.1037/xlm0000779</w:t>
        </w:r>
      </w:hyperlink>
    </w:p>
    <w:bookmarkEnd w:id="73"/>
    <w:bookmarkStart w:id="75"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74">
        <w:r>
          <w:rPr>
            <w:rStyle w:val="Hyperlink"/>
          </w:rPr>
          <w:t xml:space="preserve">https://doi.org/10.3758/s13414-011-0101-2</w:t>
        </w:r>
      </w:hyperlink>
    </w:p>
    <w:bookmarkEnd w:id="75"/>
    <w:bookmarkStart w:id="77"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76">
        <w:r>
          <w:rPr>
            <w:rStyle w:val="Hyperlink"/>
          </w:rPr>
          <w:t xml:space="preserve">https://doi.org/10.1016/j.cub.2023.01.011</w:t>
        </w:r>
      </w:hyperlink>
    </w:p>
    <w:bookmarkEnd w:id="77"/>
    <w:bookmarkStart w:id="79"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78">
        <w:r>
          <w:rPr>
            <w:rStyle w:val="Hyperlink"/>
          </w:rPr>
          <w:t xml:space="preserve">https://doi.org/10.1177/0301006615599902</w:t>
        </w:r>
      </w:hyperlink>
    </w:p>
    <w:bookmarkEnd w:id="79"/>
    <w:bookmarkStart w:id="81"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80">
        <w:r>
          <w:rPr>
            <w:rStyle w:val="Hyperlink"/>
          </w:rPr>
          <w:t xml:space="preserve">https://doi.org/10.1016/j.visres.2019.09.005</w:t>
        </w:r>
      </w:hyperlink>
    </w:p>
    <w:bookmarkEnd w:id="81"/>
    <w:bookmarkStart w:id="83"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82">
        <w:r>
          <w:rPr>
            <w:rStyle w:val="Hyperlink"/>
          </w:rPr>
          <w:t xml:space="preserve">https://doi.org/10.1007/s00426-023-01913-w</w:t>
        </w:r>
      </w:hyperlink>
    </w:p>
    <w:bookmarkEnd w:id="83"/>
    <w:bookmarkStart w:id="85"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84">
        <w:r>
          <w:rPr>
            <w:rStyle w:val="Hyperlink"/>
          </w:rPr>
          <w:t xml:space="preserve">https://doi.org/10.1080/02640414.2018.1522683</w:t>
        </w:r>
      </w:hyperlink>
    </w:p>
    <w:bookmarkEnd w:id="85"/>
    <w:bookmarkStart w:id="87"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86">
        <w:r>
          <w:rPr>
            <w:rStyle w:val="Hyperlink"/>
          </w:rPr>
          <w:t xml:space="preserve">https://doi.org/10.3758/s13423-018-1508-8</w:t>
        </w:r>
      </w:hyperlink>
    </w:p>
    <w:bookmarkEnd w:id="87"/>
    <w:bookmarkStart w:id="88"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88"/>
    <w:bookmarkStart w:id="90"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89">
        <w:r>
          <w:rPr>
            <w:rStyle w:val="Hyperlink"/>
          </w:rPr>
          <w:t xml:space="preserve">https://doi.org/10.1177/0956797610389189</w:t>
        </w:r>
      </w:hyperlink>
    </w:p>
    <w:bookmarkEnd w:id="90"/>
    <w:bookmarkStart w:id="92"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91">
        <w:r>
          <w:rPr>
            <w:rStyle w:val="Hyperlink"/>
          </w:rPr>
          <w:t xml:space="preserve">https://doi.org/10.1162/jocn_a_01738</w:t>
        </w:r>
      </w:hyperlink>
    </w:p>
    <w:bookmarkEnd w:id="92"/>
    <w:bookmarkStart w:id="9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93">
        <w:r>
          <w:rPr>
            <w:rStyle w:val="Hyperlink"/>
          </w:rPr>
          <w:t xml:space="preserve">https://doi.org/10.1037/h0025953</w:t>
        </w:r>
      </w:hyperlink>
    </w:p>
    <w:bookmarkEnd w:id="94"/>
    <w:bookmarkStart w:id="9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95">
        <w:r>
          <w:rPr>
            <w:rStyle w:val="Hyperlink"/>
          </w:rPr>
          <w:t xml:space="preserve">https://doi.org/10.1027/1618-3169/a000469</w:t>
        </w:r>
      </w:hyperlink>
    </w:p>
    <w:bookmarkEnd w:id="96"/>
    <w:bookmarkStart w:id="98"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97">
        <w:r>
          <w:rPr>
            <w:rStyle w:val="Hyperlink"/>
          </w:rPr>
          <w:t xml:space="preserve">https://doi.org/10.1016/j.tics.2022.03.007</w:t>
        </w:r>
      </w:hyperlink>
    </w:p>
    <w:bookmarkEnd w:id="98"/>
    <w:bookmarkStart w:id="100"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99">
        <w:r>
          <w:rPr>
            <w:rStyle w:val="Hyperlink"/>
          </w:rPr>
          <w:t xml:space="preserve">https://doi.org/10.1016/j.jesp.2023.104478</w:t>
        </w:r>
      </w:hyperlink>
    </w:p>
    <w:bookmarkEnd w:id="100"/>
    <w:bookmarkStart w:id="102"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101">
        <w:r>
          <w:rPr>
            <w:rStyle w:val="Hyperlink"/>
          </w:rPr>
          <w:t xml:space="preserve">https://doi.org/10.1037/xhp0001057</w:t>
        </w:r>
      </w:hyperlink>
    </w:p>
    <w:bookmarkEnd w:id="102"/>
    <w:bookmarkStart w:id="104"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103">
        <w:r>
          <w:rPr>
            <w:rStyle w:val="Hyperlink"/>
          </w:rPr>
          <w:t xml:space="preserve">https://doi.org/10.1016/S0926-6410(01)00077-5</w:t>
        </w:r>
      </w:hyperlink>
    </w:p>
    <w:bookmarkEnd w:id="104"/>
    <w:bookmarkStart w:id="106"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105">
        <w:r>
          <w:rPr>
            <w:rStyle w:val="Hyperlink"/>
          </w:rPr>
          <w:t xml:space="preserve">https://doi.org/10.1007/s00426-018-1006-7</w:t>
        </w:r>
      </w:hyperlink>
    </w:p>
    <w:bookmarkEnd w:id="106"/>
    <w:bookmarkStart w:id="10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107"/>
    <w:bookmarkStart w:id="109"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108">
        <w:r>
          <w:rPr>
            <w:rStyle w:val="Hyperlink"/>
          </w:rPr>
          <w:t xml:space="preserve">https://doi.org/10.1111/cogs.12539</w:t>
        </w:r>
      </w:hyperlink>
    </w:p>
    <w:bookmarkEnd w:id="109"/>
    <w:bookmarkStart w:id="111" w:name="Xedde1589a4463afc15faa24be41c02163e3402a"/>
    <w:p>
      <w:pPr>
        <w:pStyle w:val="Bibliography"/>
      </w:pPr>
      <w:r>
        <w:t xml:space="preserve">Willey, C. R., &amp; Liu, Z. (2018).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110">
        <w:r>
          <w:rPr>
            <w:rStyle w:val="Hyperlink"/>
          </w:rPr>
          <w:t xml:space="preserve">https://doi.org/10.1016/j.actpsy.2017.11.008</w:t>
        </w:r>
      </w:hyperlink>
    </w:p>
    <w:bookmarkEnd w:id="111"/>
    <w:bookmarkStart w:id="113"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112">
        <w:r>
          <w:rPr>
            <w:rStyle w:val="Hyperlink"/>
          </w:rPr>
          <w:t xml:space="preserve">https://doi.org/10.1016/j.jml.2011.11.004</w:t>
        </w:r>
      </w:hyperlink>
    </w:p>
    <w:bookmarkEnd w:id="113"/>
    <w:bookmarkStart w:id="11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114">
        <w:r>
          <w:rPr>
            <w:rStyle w:val="Hyperlink"/>
          </w:rPr>
          <w:t xml:space="preserve">https://doi.org/10.3758/s13423-020-01780-1</w:t>
        </w:r>
      </w:hyperlink>
    </w:p>
    <w:bookmarkEnd w:id="115"/>
    <w:bookmarkEnd w:id="116"/>
    <w:p>
      <w:r>
        <w:br w:type="page"/>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2024-10-12T04:05:53Z</dcterms:created>
  <dcterms:modified xsi:type="dcterms:W3CDTF">2024-10-12T04:05:53Z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output</vt:lpwstr>
  </property>
  <property fmtid="{D5CDD505-2E9C-101B-9397-08002B2CF9AE}" pid="12" name="toc-location">
    <vt:lpwstr>body</vt:lpwstr>
  </property>
  <property fmtid="{D5CDD505-2E9C-101B-9397-08002B2CF9AE}" pid="13" name="toc-title">
    <vt:lpwstr>Table of contents</vt:lpwstr>
  </property>
</Properties>
</file>