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89.png" ContentType="image/png"/>
  <Override PartName="/word/media/rId1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d65e14608e6a5d2896ec6e79e7e74dba9536ea"/>
    <w:p>
      <w:pPr>
        <w:pStyle w:val="Heading1"/>
      </w:pPr>
      <w:r>
        <w:t xml:space="preserve">The Role of Variability in Learning Transfer: A Similarity-Based Computational Approach</w:t>
      </w:r>
    </w:p>
    <w:bookmarkStart w:id="20" w:name="thomas-e.-gorman"/>
    <w:p>
      <w:pPr>
        <w:pStyle w:val="Heading2"/>
      </w:pPr>
      <w:r>
        <w:t xml:space="preserve">Thomas E. Gorman</w:t>
      </w:r>
    </w:p>
    <w:p>
      <w:pPr>
        <w:pStyle w:val="FirstParagraph"/>
      </w:pPr>
      <w:r>
        <w:t xml:space="preserve">Submitted to the faculty of the University Graduate School in partial fulfillment of the</w:t>
      </w:r>
      <w:r>
        <w:t xml:space="preserve"> </w:t>
      </w:r>
      <w:r>
        <w:t xml:space="preserve">requirements for the degree Doctor of Philosophy in the Department of Psychology and Brain</w:t>
      </w:r>
      <w:r>
        <w:t xml:space="preserve"> </w:t>
      </w:r>
      <w:r>
        <w:t xml:space="preserve">Sciences and the Cognitive Science Program, Indiana University.</w:t>
      </w:r>
    </w:p>
    <w:p>
      <w:r>
        <w:pict>
          <v:rect style="width:0;height:1.5pt" o:hralign="center" o:hrstd="t" o:hr="t"/>
        </w:pict>
      </w:r>
    </w:p>
    <w:p>
      <w:pPr>
        <w:pStyle w:val="FirstParagraph"/>
      </w:pPr>
      <w:r>
        <w:t xml:space="preserve">Accepted by the Graduate Faculty, Indiana University, in partial fulfillment of the</w:t>
      </w:r>
      <w:r>
        <w:t xml:space="preserve"> </w:t>
      </w:r>
      <w:r>
        <w:t xml:space="preserve">requirements for the degree of Doctor of Philosophy.</w:t>
      </w:r>
    </w:p>
    <w:p>
      <w:pPr>
        <w:numPr>
          <w:ilvl w:val="0"/>
          <w:numId w:val="1001"/>
        </w:numPr>
        <w:pStyle w:val="Compact"/>
      </w:pPr>
      <w:r>
        <w:t xml:space="preserve">Robert L. Goldstone, PhD</w:t>
      </w:r>
    </w:p>
    <w:p>
      <w:pPr>
        <w:numPr>
          <w:ilvl w:val="0"/>
          <w:numId w:val="1001"/>
        </w:numPr>
        <w:pStyle w:val="Compact"/>
      </w:pPr>
      <w:r>
        <w:t xml:space="preserve">Robert Nosofsky, PhD</w:t>
      </w:r>
    </w:p>
    <w:p>
      <w:pPr>
        <w:numPr>
          <w:ilvl w:val="0"/>
          <w:numId w:val="1001"/>
        </w:numPr>
        <w:pStyle w:val="Compact"/>
      </w:pPr>
      <w:r>
        <w:t xml:space="preserve">Peter Todd, PhD</w:t>
      </w:r>
    </w:p>
    <w:p>
      <w:pPr>
        <w:numPr>
          <w:ilvl w:val="0"/>
          <w:numId w:val="1001"/>
        </w:numPr>
        <w:pStyle w:val="Compact"/>
      </w:pPr>
      <w:r>
        <w:t xml:space="preserve">Mike Jones, PhD</w:t>
      </w:r>
    </w:p>
    <w:p>
      <w:r>
        <w:pict>
          <v:rect style="width:0;height:1.5pt" o:hralign="center" o:hrstd="t" o:hr="t"/>
        </w:pict>
      </w:r>
    </w:p>
    <w:bookmarkEnd w:id="20"/>
    <w:bookmarkStart w:id="22" w:name="section"/>
    <w:p>
      <w:pPr>
        <w:pStyle w:val="Heading2"/>
      </w:pPr>
      <w:r>
        <w:t xml:space="preserve">(</w:t>
      </w:r>
      <w:hyperlink w:anchor="ref-2023">
        <w:r>
          <w:rPr>
            <w:rStyle w:val="Hyperlink"/>
            <w:bCs/>
            <w:b/>
          </w:rPr>
          <w:t xml:space="preserve">2023?</w:t>
        </w:r>
      </w:hyperlink>
      <w:r>
        <w:t xml:space="preserve">)</w:t>
      </w:r>
    </w:p>
    <w:bookmarkStart w:id="21" w:name="thomas-e.-gorman-1"/>
    <w:p>
      <w:pPr>
        <w:pStyle w:val="Heading3"/>
      </w:pPr>
      <w:r>
        <w:t xml:space="preserve">Thomas E. Gorman</w:t>
      </w:r>
    </w:p>
    <w:p>
      <w:r>
        <w:pict>
          <v:rect style="width:0;height:1.5pt" o:hralign="center" o:hrstd="t" o:hr="t"/>
        </w:pict>
      </w:r>
    </w:p>
    <w:bookmarkEnd w:id="21"/>
    <w:bookmarkEnd w:id="22"/>
    <w:bookmarkStart w:id="23" w:name="acknowledgements"/>
    <w:p>
      <w:pPr>
        <w:pStyle w:val="Heading2"/>
      </w:pPr>
      <w:r>
        <w:t xml:space="preserve">Acknowledgements</w:t>
      </w:r>
    </w:p>
    <w:p>
      <w:r>
        <w:pict>
          <v:rect style="width:0;height:1.5pt" o:hralign="center" o:hrstd="t" o:hr="t"/>
        </w:pict>
      </w:r>
    </w:p>
    <w:p>
      <w:r>
        <w:br w:type="page"/>
      </w:r>
    </w:p>
    <w:bookmarkEnd w:id="23"/>
    <w:bookmarkEnd w:id="24"/>
    <w:bookmarkStart w:id="25" w:name="abstract"/>
    <w:p>
      <w:pPr>
        <w:pStyle w:val="Heading1"/>
      </w:pPr>
      <w:r>
        <w:t xml:space="preserve">Abstract</w:t>
      </w:r>
    </w:p>
    <w:p>
      <w:pPr>
        <w:pStyle w:val="FirstParagraph"/>
      </w:pPr>
      <w:r>
        <w:t xml:space="preserve">This dissertation seeks to explore the cognitive underpinnings that govern the generalization of learning, focusing specifically on the role of variability during training in shaping subsequent transfer performance. A comprehensive review of the existing literature is presented, emphasizing the methodological complications associated with disentangling the confounding effects of similarity. Through a series of experiments involving several novel visuomotor tasks, this work investigates whether and how variability in training conditions affects performance in novel tasks. To theoretically account for the empirical outcomes, I employ both instance-based and connectionist computational models, both of which incorporate similarity-based mechanisms. These models serve to account for the extent to which variability influences the learners’ generalization gradient, and also explain how training variation can produce both beneficial and deleterious outcomes.</w:t>
      </w:r>
    </w:p>
    <w:p>
      <w:r>
        <w:br w:type="page"/>
      </w:r>
    </w:p>
    <w:p>
      <w:r>
        <w:br w:type="page"/>
      </w:r>
    </w:p>
    <w:bookmarkEnd w:id="25"/>
    <w:bookmarkStart w:id="26" w:name="literature-review"/>
    <w:p>
      <w:pPr>
        <w:pStyle w:val="Heading1"/>
      </w:pPr>
      <w:r>
        <w:t xml:space="preserve">Literature Review</w:t>
      </w:r>
    </w:p>
    <w:bookmarkEnd w:id="26"/>
    <w:bookmarkStart w:id="34" w:name="variability-and-generalization"/>
    <w:p>
      <w:pPr>
        <w:pStyle w:val="Heading1"/>
      </w:pPr>
      <w:r>
        <w:t xml:space="preserve">Variability and Generalization</w:t>
      </w:r>
    </w:p>
    <w:p>
      <w:pPr>
        <w:pStyle w:val="FirstParagraph"/>
      </w:pPr>
      <w:r>
        <w:t xml:space="preserve">The factors that influence the generalization of learning are of considerable interest to both researchers exploring the human learning system and practitioners aiming to enhance the effectiveness of educational and training interventions. The present effort will focus specifically on the role of variability in the learning input. Variability manipulations typically regulate either the number of distinct instances presented to learners during training, or the dispersion of these instances. Such manipulations have been empirically demonstrated to affect subsequent generalization performance. This essay will offer an in-depth review of the extant literature on the influence of variability, spanning multiple relevant domains.</w:t>
      </w:r>
    </w:p>
    <w:bookmarkStart w:id="27" w:name="the-study-of-variability"/>
    <w:p>
      <w:pPr>
        <w:pStyle w:val="Heading2"/>
      </w:pPr>
      <w:r>
        <w:t xml:space="preserve">The study of variability</w:t>
      </w:r>
    </w:p>
    <w:p>
      <w:pPr>
        <w:pStyle w:val="FirstParagraph"/>
      </w:pPr>
      <w:r>
        <w:t xml:space="preserve">Studies investigating the</w:t>
      </w:r>
      <w:r>
        <w:t xml:space="preserve"> </w:t>
      </w:r>
      <w:r>
        <w:t xml:space="preserve">“</w:t>
      </w:r>
      <w:r>
        <w:t xml:space="preserve">benefits of variability</w:t>
      </w:r>
      <w:r>
        <w:t xml:space="preserve">”</w:t>
      </w:r>
      <w:r>
        <w:t xml:space="preserve"> </w:t>
      </w:r>
      <w:r>
        <w:t xml:space="preserve">hypothesis usually assign participants to either a constant or varied group for the training stage of the experiment. Then, subjects in both groups complete an identical testing stage which often consists items/conditions seen during training, and novel items/conditions. If the varied group performs better in the testing stage, this is taken for evidence of the benefits of variability hypothesis. Even within this relatively straightforward between-groups design, researchers must navigate several crucial methodological choices, highlighted below:</w:t>
      </w:r>
    </w:p>
    <w:p>
      <w:pPr>
        <w:numPr>
          <w:ilvl w:val="0"/>
          <w:numId w:val="1002"/>
        </w:numPr>
      </w:pPr>
      <w:r>
        <w:t xml:space="preserve">Variables Subject to Variation. In multidimensional tasks, researchers have the option to vary numerous variables. The experimenters must decide the specific dimension(s) across which variation will occur. For instance, in a projectile throwing accuracy task – researchers might vary the distance from the target, the size of the target, the weight of the projectile. They might also vary a contextual variable not directly relevant to the task, but which will still be encoded by the subject on a trial by trial basis, e.g. the background color.</w:t>
      </w:r>
    </w:p>
    <w:p>
      <w:pPr>
        <w:numPr>
          <w:ilvl w:val="0"/>
          <w:numId w:val="1002"/>
        </w:numPr>
      </w:pPr>
      <w:r>
        <w:t xml:space="preserve">Magnitude of Variation, relative to the control condition. The simplest comparison would be to compare a constant group who trains with 1 example/condition, against a varied group that trains from 2 examples/conditions. However, it is not uncommon in the literature for the varied condition to train from 3 or 4 conditions. For example,</w:t>
      </w:r>
      <w:r>
        <w:t xml:space="preserve"> </w:t>
      </w:r>
      <w:r>
        <w:t xml:space="preserve">Catalano &amp; Kleiner (</w:t>
      </w:r>
      <w:hyperlink w:anchor="Xb08d1d2c70db9470b6217bc6c358d6ea58e7916">
        <w:r>
          <w:rPr>
            <w:rStyle w:val="Hyperlink"/>
          </w:rPr>
          <w:t xml:space="preserve">1984</w:t>
        </w:r>
      </w:hyperlink>
      <w:r>
        <w:t xml:space="preserve">)</w:t>
      </w:r>
      <w:r>
        <w:t xml:space="preserve"> </w:t>
      </w:r>
      <w:r>
        <w:t xml:space="preserve">train varied subjects from 4 different velocities in their coincident timing task, and</w:t>
      </w:r>
      <w:r>
        <w:t xml:space="preserve"> </w:t>
      </w:r>
      <w:r>
        <w:t xml:space="preserve">(</w:t>
      </w:r>
      <w:hyperlink w:anchor="ref-goodeSuperiorityVariableRepeated2008">
        <w:r>
          <w:rPr>
            <w:rStyle w:val="Hyperlink"/>
          </w:rPr>
          <w:t xml:space="preserve">Goode et al., 2008</w:t>
        </w:r>
      </w:hyperlink>
      <w:r>
        <w:t xml:space="preserve">)</w:t>
      </w:r>
      <w:r>
        <w:t xml:space="preserve"> </w:t>
      </w:r>
      <w:r>
        <w:t xml:space="preserve">have varied subjects’ practice with 3 different variants (i.e. different letter scrambles of the same word) of an anagram for a given word, while their constant participants view the same variant 3 different times. Alternatively, rather than a constant vs. varied comparison, subjects in all conditions might experience a variety of training items, but with one group experiencing a greater number of unique items</w:t>
      </w:r>
      <w:r>
        <w:t xml:space="preserve"> </w:t>
      </w:r>
      <w:r>
        <w:t xml:space="preserve">(</w:t>
      </w:r>
      <w:hyperlink w:anchor="ref-nosofskyModelguidedSearchOptimal2018">
        <w:r>
          <w:rPr>
            <w:rStyle w:val="Hyperlink"/>
          </w:rPr>
          <w:t xml:space="preserve">Nosofsky, Sanders, Zhu, et al., 2018</w:t>
        </w:r>
      </w:hyperlink>
      <w:r>
        <w:t xml:space="preserve">)</w:t>
      </w:r>
      <w:r>
        <w:t xml:space="preserve">.</w:t>
      </w:r>
    </w:p>
    <w:p>
      <w:pPr>
        <w:numPr>
          <w:ilvl w:val="0"/>
          <w:numId w:val="1002"/>
        </w:numPr>
      </w:pPr>
      <w:r>
        <w:t xml:space="preserve">Locations within Task-Space. For tasks in which the stimuli or conditions fall within a continuous metric space, the experimenter must decide whether the varied instances are relatively close together (e.g. throwing a ball from a distance of 4 feet and 5 feet), or far apart (throwing from 4 feet and 20 feet). Spreading the varied training items further apart may be beneficial in terms of providing a more representative sample of the task space to the learner, however large distances may also result in significant differences in difficulty between the training examples, which can be a common confound in variability studies.</w:t>
      </w:r>
    </w:p>
    <w:p>
      <w:pPr>
        <w:numPr>
          <w:ilvl w:val="0"/>
          <w:numId w:val="1002"/>
        </w:numPr>
      </w:pPr>
      <w:r>
        <w:t xml:space="preserve">Proximity of Testing to Training Conditions. Intuitively, the fairest form of comparison is to include testing conditions that are of an equivalent distance from both the varied and constant groups. However researchers might also attempt to demonstrate the benefits of variation as being sufficiently powerful to outperform constant training, even in cases where the constant group trained from a closer proximity to the testing conditions, or whose training conditions are identical to the testing conditions</w:t>
      </w:r>
      <w:r>
        <w:t xml:space="preserve"> </w:t>
      </w:r>
      <w:r>
        <w:t xml:space="preserve">(</w:t>
      </w:r>
      <w:hyperlink w:anchor="ref-goodeSuperiorityVariableRepeated2008">
        <w:r>
          <w:rPr>
            <w:rStyle w:val="Hyperlink"/>
          </w:rPr>
          <w:t xml:space="preserve">Goode et al., 2008</w:t>
        </w:r>
      </w:hyperlink>
      <w:r>
        <w:t xml:space="preserve">;</w:t>
      </w:r>
      <w:r>
        <w:t xml:space="preserve"> </w:t>
      </w:r>
      <w:hyperlink w:anchor="ref-kerrSpecificVariedPractice1978">
        <w:r>
          <w:rPr>
            <w:rStyle w:val="Hyperlink"/>
          </w:rPr>
          <w:t xml:space="preserve">Kerr &amp; Booth, 1978</w:t>
        </w:r>
      </w:hyperlink>
      <w:r>
        <w:t xml:space="preserve">)</w:t>
      </w:r>
      <w:r>
        <w:t xml:space="preserve">.</w:t>
      </w:r>
    </w:p>
    <w:bookmarkEnd w:id="27"/>
    <w:bookmarkStart w:id="28" w:name="variability-literature-review"/>
    <w:p>
      <w:pPr>
        <w:pStyle w:val="Heading2"/>
      </w:pPr>
      <w:r>
        <w:t xml:space="preserve">Variability Literature Review</w:t>
      </w:r>
    </w:p>
    <w:p>
      <w:pPr>
        <w:pStyle w:val="FirstParagraph"/>
      </w:pPr>
      <w:r>
        <w:t xml:space="preserve">An early and influential work on the influence of variability on category learning is that of</w:t>
      </w:r>
      <w:r>
        <w:t xml:space="preserve"> </w:t>
      </w:r>
      <w:r>
        <w:t xml:space="preserve">Posner &amp; Keele (</w:t>
      </w:r>
      <w:hyperlink w:anchor="ref-posnerGenesisAbstractIdeas1968">
        <w:r>
          <w:rPr>
            <w:rStyle w:val="Hyperlink"/>
          </w:rPr>
          <w:t xml:space="preserve">1968</w:t>
        </w:r>
      </w:hyperlink>
      <w:r>
        <w:t xml:space="preserve">)</w:t>
      </w:r>
      <w:r>
        <w:t xml:space="preserve">. In an ambitious attempt to address the question of how category information is represented, the authors trained participants to categorize artificial dot patterns, manipulating whether learners were exposed to examples clustered close to the category prototypes (e.g. a low variability condition), or spread further away from the prototype (the varied-training group). It should be noted that both groups in this study were trained with the same number of unique instances and the manipulated difference was how spread out the instances were. The authors claim based on prior experiments using the same stimuli, that the training stimuli for the varied group were at least as far away from the testing stimuli as the training stimuli of the less-varied group. The authors interpreted their findings as evidence for the extraction of an abstraction or schema that is extracted and stored, and then over time becomes more likely to be the reference point from which generalization occurs, given that specific instances are thought to decay at a faster rate than prototypes or schema. The Posner and Keele study has been extremely influential and continues to be cited in contemporary research as clear evidence that schema abstraction underlies the benefits of varied training. It’s also referenced as a key influence in the development of</w:t>
      </w:r>
      <w:r>
        <w:t xml:space="preserve"> </w:t>
      </w:r>
      <w:r>
        <w:t xml:space="preserve">“</w:t>
      </w:r>
      <w:r>
        <w:t xml:space="preserve">Schema Theory of Motor Learning</w:t>
      </w:r>
      <w:r>
        <w:t xml:space="preserve">”</w:t>
      </w:r>
      <w:r>
        <w:t xml:space="preserve"> </w:t>
      </w:r>
      <w:r>
        <w:t xml:space="preserve">(</w:t>
      </w:r>
      <w:hyperlink w:anchor="ref-schmidtSchemaTheoryDiscrete1975">
        <w:r>
          <w:rPr>
            <w:rStyle w:val="Hyperlink"/>
          </w:rPr>
          <w:t xml:space="preserve">Schmidt, 1975</w:t>
        </w:r>
      </w:hyperlink>
      <w:r>
        <w:t xml:space="preserve">)</w:t>
      </w:r>
      <w:r>
        <w:t xml:space="preserve">, which in turn influenced decades of investigations on the potential benefits of varied training in motor skill learning. However, the classic Posner &amp; Keele study despite being far more carefully designed than many subsequent studies, and despite being a relative rarity in explicitly discussing and attempting to control for potential confounds of similarity between groups, may nevertheless be emblematic of a common issue in many investigations of the effects of varied training on learning. The problem with Posner &amp; Keele’s conclusion was demonstrated clearly almost 3 decades later</w:t>
      </w:r>
      <w:r>
        <w:t xml:space="preserve"> </w:t>
      </w:r>
      <w:r>
        <w:t xml:space="preserve">(</w:t>
      </w:r>
      <w:hyperlink w:anchor="ref-palmeriCentralTendenciesExtreme2001">
        <w:r>
          <w:rPr>
            <w:rStyle w:val="Hyperlink"/>
          </w:rPr>
          <w:t xml:space="preserve">Palmeri &amp; Nosofsky, 2001</w:t>
        </w:r>
      </w:hyperlink>
      <w:r>
        <w:t xml:space="preserve">)</w:t>
      </w:r>
      <w:r>
        <w:t xml:space="preserve">, when researchers conducting a near replication of the original study also collected similarity judgements following training and performed multidimensional scaling analysis. Rather than being in the middle of the training stimuli as was the case in the physical stimuli space, the psychological representation of the prototype was shown reside at an extreme point, and generalization patterns by participants that would have seemed to warrant the learning of a prototype were then easily accounted for with only the assumption that the participants encoded instances. One of the primary concerns of the present paper is that many of the studies which purport to explain the benefits of variation via prototypes, schemas, or other abstractions, are often overlooking the potential of instance based similarity accounts.</w:t>
      </w:r>
    </w:p>
    <w:bookmarkEnd w:id="28"/>
    <w:bookmarkStart w:id="29" w:name="motor-skill-learning"/>
    <w:p>
      <w:pPr>
        <w:pStyle w:val="Heading2"/>
      </w:pPr>
      <w:r>
        <w:t xml:space="preserve">Motor skill learning</w:t>
      </w:r>
    </w:p>
    <w:p>
      <w:pPr>
        <w:pStyle w:val="FirstParagraph"/>
      </w:pPr>
      <w:r>
        <w:t xml:space="preserve">Training variation has also been shown to promote transfer in motor learning. Much of this research has been influenced by the work of</w:t>
      </w:r>
      <w:r>
        <w:t xml:space="preserve"> </w:t>
      </w:r>
      <w:r>
        <w:t xml:space="preserve">(</w:t>
      </w:r>
      <w:hyperlink w:anchor="ref-schmidtSchemaTheoryDiscrete1975">
        <w:r>
          <w:rPr>
            <w:rStyle w:val="Hyperlink"/>
          </w:rPr>
          <w:t xml:space="preserve">Schmidt, 1975</w:t>
        </w:r>
      </w:hyperlink>
      <w:r>
        <w:t xml:space="preserve">)</w:t>
      </w:r>
      <w:r>
        <w:t xml:space="preserve">, who proposed a schema-based account of motor learning as an attempt to address the longstanding problem of how novel movements are produced. Schema theory presumes a priori that learners possess general motor programs for classes of movements, such as an underhand throw. When called up for use, such programs must be parameterized, as well as schema rules that determine how a motor program is parameterized or scaled for a particular movement. Schema theory predicts that varied training results in the formation of a more general schema-rule, which can allow for transfer to novel movements within a given movement class, such as an underhand throw (though it is agnostic to the development of the movement classes themselves). Experiments that test this hypothesis are often designed to compare the transfer performance of a constant-trained group against that of a varied-trained group. Both groups train on the same task, but the varied group practices with multiple instances along some task-relevant dimension that remains invariant for the constant group. For example, investigators might train two groups of participants to throw a projectile at a target, with a constant group that throws from a single location, and a varied group that throws from multiple locations. Both groups are then tested from novel locations.</w:t>
      </w:r>
    </w:p>
    <w:p>
      <w:pPr>
        <w:pStyle w:val="BodyText"/>
      </w:pPr>
      <w:r>
        <w:t xml:space="preserve">One of the earliest, and still often cited investigations of Schmidt’s benefits of variability hypothesis was the work of</w:t>
      </w:r>
      <w:r>
        <w:t xml:space="preserve"> </w:t>
      </w:r>
      <w:r>
        <w:t xml:space="preserve">Kerr &amp; Booth (</w:t>
      </w:r>
      <w:hyperlink w:anchor="ref-kerrSpecificVariedPractice1978">
        <w:r>
          <w:rPr>
            <w:rStyle w:val="Hyperlink"/>
          </w:rPr>
          <w:t xml:space="preserve">1978</w:t>
        </w:r>
      </w:hyperlink>
      <w:r>
        <w:t xml:space="preserve">)</w:t>
      </w:r>
      <w:r>
        <w:t xml:space="preserve">. Two groups of children, aged 8 and 12, were assigned to either constant or varied training of a bean bag throwing task. The constant group practiced throwing a bean-bag at a small target placed 3 feet in front of them, and the varied group practiced throwing from a distance of both 2 feet and 4 feet. Participants were blindfolded and unable to see the target while making each throw but would receive feedback by looking at where the beanbag had landed in between each training trial. 12 weeks later, all of the children were given a final test from a distance of 3 feet which was novel for the varied participants and repeated for the constant participants. Participants were also blindfolded for testing and did not receive trial by trial feedback in this stage. However, at the halfway point of the testing stage they were allowed to see the landing location of the 4 beanbags they had thrown, and then completed the final 4 testing throws. In both age groups, participants performed significantly better in the varied condition than the constant condition, though the effect was larger for the younger, 8-year-old children. Although this design does not directly assess the hypothesis of varied training producing superior generalization to constant training (since the constant group is not tested from a novel position), it nevertheless offers a compelling example of the merits of varied practice.</w:t>
      </w:r>
    </w:p>
    <w:p>
      <w:pPr>
        <w:pStyle w:val="BodyText"/>
      </w:pPr>
      <w:r>
        <w:t xml:space="preserve">On occasion the Kerr and Booth design may be nested within a larger experimental design. One such study that used a movement timing task, wherein subjects had to move their hand from a starting location, to a target location, attempting to arrive at the target location at specific time following the onset of a cue</w:t>
      </w:r>
      <w:r>
        <w:t xml:space="preserve"> </w:t>
      </w:r>
      <w:r>
        <w:t xml:space="preserve">(</w:t>
      </w:r>
      <w:hyperlink w:anchor="X05a5acade1fdd8bd616f6380d0ca460d0ffe88c">
        <w:r>
          <w:rPr>
            <w:rStyle w:val="Hyperlink"/>
          </w:rPr>
          <w:t xml:space="preserve">Wrisberg et al., 1987</w:t>
        </w:r>
      </w:hyperlink>
      <w:r>
        <w:t xml:space="preserve">)</w:t>
      </w:r>
      <w:r>
        <w:t xml:space="preserve">. This study utilized 4 different constant groups, and 3 varied groups, with one of the constant groups training under conditions identical to the testing conditions, and which were not trained on by any of the varied groups, e.g. the design of Kerr and Booth. However, in this case the varied group did not outperform the constant group. A more recent study attempting a slightly more direct replication of the original Kerr &amp; Booth study</w:t>
      </w:r>
      <w:r>
        <w:t xml:space="preserve"> </w:t>
      </w:r>
      <w:r>
        <w:t xml:space="preserve">(</w:t>
      </w:r>
      <w:hyperlink w:anchor="ref-willeyLongtermMotorLearning2018">
        <w:r>
          <w:rPr>
            <w:rStyle w:val="Hyperlink"/>
          </w:rPr>
          <w:t xml:space="preserve">Willey &amp; Liu, 2018b</w:t>
        </w:r>
      </w:hyperlink>
      <w:r>
        <w:t xml:space="preserve">)</w:t>
      </w:r>
      <w:r>
        <w:t xml:space="preserve">, having subjects throw beanbags at a target, with the varied group training from positions (5 and 9 feet) on either side of the constant group (7 feet). However, this study diverged from the original in that the participants were adults; they faced away from the target and threw the beanbag backwards over their bodies; they alternated using their right and left hands every 6 trials; and underwent a relatively extreme amount of training (20 sessions with 60 practice trials each, spread out over 5-7 weeks). Like</w:t>
      </w:r>
      <w:r>
        <w:t xml:space="preserve"> </w:t>
      </w:r>
      <w:r>
        <w:t xml:space="preserve">Wrisberg et al. (</w:t>
      </w:r>
      <w:hyperlink w:anchor="X05a5acade1fdd8bd616f6380d0ca460d0ffe88c">
        <w:r>
          <w:rPr>
            <w:rStyle w:val="Hyperlink"/>
          </w:rPr>
          <w:t xml:space="preserve">1987</w:t>
        </w:r>
      </w:hyperlink>
      <w:r>
        <w:t xml:space="preserve">)</w:t>
      </w:r>
      <w:r>
        <w:t xml:space="preserve">, this study did not find a varied advantage from the constant training position, though the varied group did perform better at distances novel to both groups.</w:t>
      </w:r>
    </w:p>
    <w:p>
      <w:pPr>
        <w:pStyle w:val="BodyText"/>
      </w:pPr>
      <w:r>
        <w:t xml:space="preserve">Some support for the Kerr and Booth findings was found with a relatively less common experimental task of training participants in hitting a projectile at a target with the use of a racket</w:t>
      </w:r>
      <w:r>
        <w:t xml:space="preserve"> </w:t>
      </w:r>
      <w:r>
        <w:t xml:space="preserve">(</w:t>
      </w:r>
      <w:hyperlink w:anchor="X7b3504012b6fd1a5c5c468378db0668b06afb06">
        <w:r>
          <w:rPr>
            <w:rStyle w:val="Hyperlink"/>
          </w:rPr>
          <w:t xml:space="preserve">Green et al., 1995</w:t>
        </w:r>
      </w:hyperlink>
      <w:r>
        <w:t xml:space="preserve">)</w:t>
      </w:r>
      <w:r>
        <w:t xml:space="preserve">. Varied participants trained with tennis, squash, badminton, and short-tennis rackets were compared against constant subjects trained with only a tennis racket. One of the testing conditions had subjects repeat the use of the tennis racket, which had been used on all 128 training trials for the constant group, and only 32 training trials for the varied group. Nevertheless, the varied group outperformed the constant group when using the tennis racket at testing, and also performed better in conditions with several novel racket lengths. Of course, this finding is less surprising than that of Kerr &amp; Booth, given that varied subjects did have some prior exposure to the constant groups condition. This highlights an issue rarely discussed in the literature, of how much practice from an additional position might be necessary to induce benefits. Experimenters almost uniformly have varied participants train with an equivalent number of trials from each of their conditions</w:t>
      </w:r>
    </w:p>
    <w:p>
      <w:pPr>
        <w:pStyle w:val="BodyText"/>
      </w:pPr>
      <w:r>
        <w:t xml:space="preserve">One of the few studies that has replicated the surprising result of varied outperforming constant, from the constant training condition, did so in the relatively distant domain of verbal manipulation</w:t>
      </w:r>
      <w:r>
        <w:t xml:space="preserve"> </w:t>
      </w:r>
      <w:r>
        <w:t xml:space="preserve">(</w:t>
      </w:r>
      <w:hyperlink w:anchor="ref-goodeSuperiorityVariableRepeated2008">
        <w:r>
          <w:rPr>
            <w:rStyle w:val="Hyperlink"/>
          </w:rPr>
          <w:t xml:space="preserve">Goode et al., 2008</w:t>
        </w:r>
      </w:hyperlink>
      <w:r>
        <w:t xml:space="preserve">)</w:t>
      </w:r>
      <w:r>
        <w:t xml:space="preserve">. All participants trained to solve anagrams of 40 different words ranging in length from 5 to 11 letters, with an anagram of each word repeated 3 times throughout training, for a total of 120 training trials. Although subjects in all conditions were exposed to the same 40 unique words (i.e. the solution to an anagram), participants in the varied group saw 3 different arrangements for each solution-word, such as DOLOF, FOLOD, and OOFLD for the solution word FLOOD, whereas constant subjects would train on three repetitions of LDOOF (spread evenly across training). Two different constant groups were used. Both constant groups trained with three repetitions of the same word scramble, but for constant group A, the testing phase consisted of the identical letter arrangement to that seen during training (e.g. LDOOF), whereas for constant group B, the testing phase consisted of a arrangement they had not seen during training, thus presenting them with a testing situation similar situation to the varied group. At the testing stage, the varied group outperformed both constant groups, a particularly impressive result, given that constant group A had 3 prior exposures to the word arrangement (i.e. the particular permutation of letters) which the varied group had not explicitly seen. However varied subjects in this study did not exhibit the typical decrement in the training phase typical of other varied manipulations in the literature, and actually achieved higher levels of anagram solving accuracy by the end of training than either of the constant groups – solving 2 more anagrams on average than the constant group. This might suggest that for tasks of this nature where the learner can simply get stuck with a particular word scramble, repeated exposure to the identical scramble might be less helpful towards finding the solution than being given a different arrangement of the same letters. This contention is supported by the fact that constant group A, who was tested on the identical arrangement as they experienced during training, performed no better at testing than did constant group B, who had trained on a different arrangement of the same word solution – further suggesting that there may not have been a strong identity advantage in this task.</w:t>
      </w:r>
    </w:p>
    <w:p>
      <w:pPr>
        <w:pStyle w:val="BodyText"/>
      </w:pPr>
      <w:r>
        <w:t xml:space="preserve">Pitting varied against constant practice against each other on the home turf of the constant group provides a compelling argument for the benefits of varied training, as well as an interesting challenge for theoretical accounts that posit generalization to occur as some function of distance. However, despite its appeal this particular contrast is relatively uncommon in the literature. It is unclear whether this may be cause for concern over publication bias, or just researchers feeling the design is too risky. A far more common design is to have separate constant groups that each train exclusively from each of the conditions that the varied group encounters</w:t>
      </w:r>
      <w:r>
        <w:t xml:space="preserve"> </w:t>
      </w:r>
      <w:r>
        <w:t xml:space="preserve">(</w:t>
      </w:r>
      <w:hyperlink w:anchor="Xb08d1d2c70db9470b6217bc6c358d6ea58e7916">
        <w:r>
          <w:rPr>
            <w:rStyle w:val="Hyperlink"/>
          </w:rPr>
          <w:t xml:space="preserve">Catalano &amp; Kleiner, 1984</w:t>
        </w:r>
      </w:hyperlink>
      <w:r>
        <w:t xml:space="preserve">;</w:t>
      </w:r>
      <w:r>
        <w:t xml:space="preserve"> </w:t>
      </w:r>
      <w:hyperlink w:anchor="ref-chuaPracticeVariabilityPromotes2019">
        <w:r>
          <w:rPr>
            <w:rStyle w:val="Hyperlink"/>
          </w:rPr>
          <w:t xml:space="preserve">Chua et al., 2019</w:t>
        </w:r>
      </w:hyperlink>
      <w:r>
        <w:t xml:space="preserve">;</w:t>
      </w:r>
      <w:r>
        <w:t xml:space="preserve"> </w:t>
      </w:r>
      <w:hyperlink w:anchor="ref-mccrackenTestSchemaTheory1977">
        <w:r>
          <w:rPr>
            <w:rStyle w:val="Hyperlink"/>
          </w:rPr>
          <w:t xml:space="preserve">McCracken &amp; Stelmach, 1977</w:t>
        </w:r>
      </w:hyperlink>
      <w:r>
        <w:t xml:space="preserve">;</w:t>
      </w:r>
      <w:r>
        <w:t xml:space="preserve"> </w:t>
      </w:r>
      <w:hyperlink w:anchor="ref-moxleySchemaVariabilityPractice1979">
        <w:r>
          <w:rPr>
            <w:rStyle w:val="Hyperlink"/>
          </w:rPr>
          <w:t xml:space="preserve">Moxley, 1979</w:t>
        </w:r>
      </w:hyperlink>
      <w:r>
        <w:t xml:space="preserve">;</w:t>
      </w:r>
      <w:r>
        <w:t xml:space="preserve"> </w:t>
      </w:r>
      <w:hyperlink w:anchor="X7949f5876792781c015572639531a7aeb223f01">
        <w:r>
          <w:rPr>
            <w:rStyle w:val="Hyperlink"/>
          </w:rPr>
          <w:t xml:space="preserve">Newell &amp; Shapiro, 1976</w:t>
        </w:r>
      </w:hyperlink>
      <w:r>
        <w:t xml:space="preserve">)</w:t>
      </w:r>
      <w:r>
        <w:t xml:space="preserve">, or for a single constant group to train from just one of the conditions experienced by the varied participants</w:t>
      </w:r>
      <w:r>
        <w:t xml:space="preserve"> </w:t>
      </w:r>
      <w:r>
        <w:t xml:space="preserve">(</w:t>
      </w:r>
      <w:hyperlink w:anchor="ref-pigottMotorSchemaStructure1984">
        <w:r>
          <w:rPr>
            <w:rStyle w:val="Hyperlink"/>
          </w:rPr>
          <w:t xml:space="preserve">Pigott &amp; Shapiro, 1984</w:t>
        </w:r>
      </w:hyperlink>
      <w:r>
        <w:t xml:space="preserve">;</w:t>
      </w:r>
      <w:r>
        <w:t xml:space="preserve"> </w:t>
      </w:r>
      <w:hyperlink w:anchor="ref-rollerVariablePracticeLenses2001">
        <w:r>
          <w:rPr>
            <w:rStyle w:val="Hyperlink"/>
          </w:rPr>
          <w:t xml:space="preserve">Roller et al., 2001</w:t>
        </w:r>
      </w:hyperlink>
      <w:r>
        <w:t xml:space="preserve">;</w:t>
      </w:r>
      <w:r>
        <w:t xml:space="preserve"> </w:t>
      </w:r>
      <w:hyperlink w:anchor="ref-wrisbergTrainingProductionNovel1984">
        <w:r>
          <w:rPr>
            <w:rStyle w:val="Hyperlink"/>
          </w:rPr>
          <w:t xml:space="preserve">Wrisberg &amp; McLean, 1984</w:t>
        </w:r>
      </w:hyperlink>
      <w:r>
        <w:t xml:space="preserve">;</w:t>
      </w:r>
      <w:r>
        <w:t xml:space="preserve"> </w:t>
      </w:r>
      <w:hyperlink w:anchor="X58e2523dae4b1c5dbcd316e961b03f5be2321b7">
        <w:r>
          <w:rPr>
            <w:rStyle w:val="Hyperlink"/>
          </w:rPr>
          <w:t xml:space="preserve">Wrisberg &amp; Mead, 1983</w:t>
        </w:r>
      </w:hyperlink>
      <w:r>
        <w:t xml:space="preserve">)</w:t>
      </w:r>
      <w:r>
        <w:t xml:space="preserve">. A less common contrast places the constant group training in a region of the task space outside of the range of examples experienced by the varied group, but distinct from the transfer condition</w:t>
      </w:r>
      <w:r>
        <w:t xml:space="preserve"> </w:t>
      </w:r>
      <w:r>
        <w:t xml:space="preserve">(</w:t>
      </w:r>
      <w:hyperlink w:anchor="X05a5acade1fdd8bd616f6380d0ca460d0ffe88c">
        <w:r>
          <w:rPr>
            <w:rStyle w:val="Hyperlink"/>
          </w:rPr>
          <w:t xml:space="preserve">Wrisberg et al., 1987</w:t>
        </w:r>
      </w:hyperlink>
      <w:r>
        <w:t xml:space="preserve">;</w:t>
      </w:r>
      <w:r>
        <w:t xml:space="preserve"> </w:t>
      </w:r>
      <w:hyperlink w:anchor="ref-wulfVariabilityPracticeImplicit1997">
        <w:r>
          <w:rPr>
            <w:rStyle w:val="Hyperlink"/>
          </w:rPr>
          <w:t xml:space="preserve">Wulf &amp; Schmidt, 1997</w:t>
        </w:r>
      </w:hyperlink>
      <w:r>
        <w:t xml:space="preserve">)</w:t>
      </w:r>
      <w:r>
        <w:t xml:space="preserve">.</w:t>
      </w:r>
    </w:p>
    <w:p>
      <w:pPr>
        <w:pStyle w:val="BodyText"/>
      </w:pPr>
      <w:r>
        <w:t xml:space="preserve">Of particular relevant to the current essay is the early work of</w:t>
      </w:r>
      <w:r>
        <w:t xml:space="preserve"> </w:t>
      </w:r>
      <w:r>
        <w:t xml:space="preserve">Catalano &amp; Kleiner (</w:t>
      </w:r>
      <w:hyperlink w:anchor="Xb08d1d2c70db9470b6217bc6c358d6ea58e7916">
        <w:r>
          <w:rPr>
            <w:rStyle w:val="Hyperlink"/>
          </w:rPr>
          <w:t xml:space="preserve">1984</w:t>
        </w:r>
      </w:hyperlink>
      <w:r>
        <w:t xml:space="preserve">)</w:t>
      </w:r>
      <w:r>
        <w:t xml:space="preserve">, as theirs was one of the earliest studies to investigate the influence of varied vs. constant training on multiple testing locations of graded distance from the training condition. Participants were trained on coincident timing task, in which subjects observe a series of lightbulbs turning on sequentially at a consistent rate and attempt to time a button response with the onset of the final bulb. The constant groups trained with a single velocity of either 5,7,9, or 11 mph, while the varied group trained from all 4 of these velocities. Participants were then assigned to one of four possible generalization conditions, all of which fell outside of the range of the varied training conditions – 1, 3, 13 or 15 mph. As is often the case, the varied group performed worse during the training phase. In the testing phase, the general pattern was for all participants to perform worse as the testing conditions became further away from the training conditions, but since the drop off in performance as a function of distance was far less steep for the varied group, the authors suggested that varied training induced a decremented generalization gradient, such that the varied participants were less affected by the change between training and testing conditions.</w:t>
      </w:r>
    </w:p>
    <w:bookmarkEnd w:id="29"/>
    <w:bookmarkStart w:id="30" w:name="category-learning"/>
    <w:p>
      <w:pPr>
        <w:pStyle w:val="Heading2"/>
      </w:pPr>
      <w:r>
        <w:t xml:space="preserve">Category learning</w:t>
      </w:r>
    </w:p>
    <w:p>
      <w:pPr>
        <w:pStyle w:val="FirstParagraph"/>
      </w:pPr>
      <w:r>
        <w:t xml:space="preserve">In the category learning literature, the constant vs. varied comparison is much less suitable. Instead, researchers tend to compare a condition with many repetitions of a few items against condition with fewer repetitions of a wider array of exemplars. Much of the earlier work in this sub-area trained subjects on artificial categories, such as dot patterns</w:t>
      </w:r>
      <w:r>
        <w:t xml:space="preserve"> </w:t>
      </w:r>
      <w:r>
        <w:t xml:space="preserve">(</w:t>
      </w:r>
      <w:hyperlink w:anchor="ref-homaCategoryBreadthAbstraction1976">
        <w:r>
          <w:rPr>
            <w:rStyle w:val="Hyperlink"/>
          </w:rPr>
          <w:t xml:space="preserve">Homa &amp; Vosburgh, 1976</w:t>
        </w:r>
      </w:hyperlink>
      <w:r>
        <w:t xml:space="preserve">;</w:t>
      </w:r>
      <w:r>
        <w:t xml:space="preserve"> </w:t>
      </w:r>
      <w:hyperlink w:anchor="ref-posnerGenesisAbstractIdeas1968">
        <w:r>
          <w:rPr>
            <w:rStyle w:val="Hyperlink"/>
          </w:rPr>
          <w:t xml:space="preserve">Posner &amp; Keele, 1968</w:t>
        </w:r>
      </w:hyperlink>
      <w:r>
        <w:t xml:space="preserve">)</w:t>
      </w:r>
      <w:r>
        <w:t xml:space="preserve">, where more varied or distorted training examples were often shown to produce superior generalization when categorizing novel exemplars. More recently, researchers have also begun to utilize more realistic stimuli in their experiments.</w:t>
      </w:r>
      <w:r>
        <w:t xml:space="preserve"> </w:t>
      </w:r>
      <w:r>
        <w:t xml:space="preserve">Wahlheim et al. (</w:t>
      </w:r>
      <w:hyperlink w:anchor="Xc20614634450232b72de235f33b047d0be1d2df">
        <w:r>
          <w:rPr>
            <w:rStyle w:val="Hyperlink"/>
          </w:rPr>
          <w:t xml:space="preserve">2012</w:t>
        </w:r>
      </w:hyperlink>
      <w:r>
        <w:t xml:space="preserve">)</w:t>
      </w:r>
      <w:r>
        <w:t xml:space="preserve"> </w:t>
      </w:r>
      <w:r>
        <w:t xml:space="preserve">conducted one such study. In a within-participants design, participants were trained on bird categories with either high repetitions of a few exemplars, or few repetitions of many exemplars. Across four different experiments, which were conducted to address an unrelated question on metacognitive judgements, the researchers consistently found that participants generalized better to novel species following training with more unique exemplars (i.e. higher variability), while high repetition training produced significantly better performance categorizing the specific species they had trained on. A variability advantage was also found in the relatively complex domain of rock categorization</w:t>
      </w:r>
      <w:r>
        <w:t xml:space="preserve"> </w:t>
      </w:r>
      <w:r>
        <w:t xml:space="preserve">(</w:t>
      </w:r>
      <w:hyperlink w:anchor="ref-nosofskyTestsExemplarmemoryModel2018">
        <w:r>
          <w:rPr>
            <w:rStyle w:val="Hyperlink"/>
          </w:rPr>
          <w:t xml:space="preserve">Nosofsky, Sanders, &amp; McDaniel, 2018</w:t>
        </w:r>
      </w:hyperlink>
      <w:r>
        <w:t xml:space="preserve">)</w:t>
      </w:r>
      <w:r>
        <w:t xml:space="preserve">. For 10 different rock categories, participants were trained with either many repetitions of 3 unique examples of each category, or few repetitions of 9 unique examples, with an equal number of total training trials in each group (the design also included 2 other conditions less amenable to considering the impact of variation). The high-variability group, trained with 9 unique examples, showed significantly better generalization performance than the other conditions. Moreover, the pattern of results in this study could be nicely accounted for by an extended version of the Generalized Context Model.</w:t>
      </w:r>
    </w:p>
    <w:p>
      <w:pPr>
        <w:pStyle w:val="BodyText"/>
      </w:pPr>
      <w:r>
        <w:t xml:space="preserve">The studies described thus far have studied the benefits of variability by exposing participants to a greater or lesser number of distinct examples during training. A distinct sub-literature within the category learning domain has focused much less on benefits derived from varied training, instead emphasizing how increased variability during the learning of a novel category influences how far the category boundary will then be generalized. The general approach is to train participants on examples from two categories, with the examples from one of the categories being more dispersed than the other. Participants are then tested with novel items located within ambiguous regions of the task space which allow the experimenters to assess whether the difference in variability influences how far participants generalize the category boundaries.</w:t>
      </w:r>
    </w:p>
    <w:p>
      <w:pPr>
        <w:pStyle w:val="BodyText"/>
      </w:pPr>
      <w:r>
        <w:t xml:space="preserve">A. L. Cohen et al. (</w:t>
      </w:r>
      <w:hyperlink w:anchor="ref-cohenCategoryVariabilityExemplar2001">
        <w:r>
          <w:rPr>
            <w:rStyle w:val="Hyperlink"/>
          </w:rPr>
          <w:t xml:space="preserve">2001</w:t>
        </w:r>
      </w:hyperlink>
      <w:r>
        <w:t xml:space="preserve">)</w:t>
      </w:r>
      <w:r>
        <w:t xml:space="preserve"> </w:t>
      </w:r>
      <w:r>
        <w:t xml:space="preserve">trained subjects on two categories, one with much more variability than the other. In experiment 1, a low variability category composed of 1 instance was compared against a high-variability category of 2 instances in one condition, and 7 instances in another. In experiment 2 both categories were composed of 3 instances, but for the low-variability group the instances were clustered close to each other, whereas the high-variability groups instances were spread much further apart. Participants were tested on an ambiguous novel instance that was located in between the two trained categories. Both experiments provided evidence that participants were much more likely to categorize the novel middle stimulus into a category with greater variation. Moreover, this effect was at odds with the predications of the baseline version of the GCM, thus providing some evidence that training variation may at least sometimes induce effects that cannot be entirely accounted for by exemplar-similarity accounts.</w:t>
      </w:r>
    </w:p>
    <w:p>
      <w:pPr>
        <w:pStyle w:val="BodyText"/>
      </w:pPr>
      <w:r>
        <w:t xml:space="preserve">Further observations consonant with the results of</w:t>
      </w:r>
      <w:r>
        <w:t xml:space="preserve"> </w:t>
      </w:r>
      <w:r>
        <w:t xml:space="preserve">A. L. Cohen et al. (</w:t>
      </w:r>
      <w:hyperlink w:anchor="ref-cohenCategoryVariabilityExemplar2001">
        <w:r>
          <w:rPr>
            <w:rStyle w:val="Hyperlink"/>
          </w:rPr>
          <w:t xml:space="preserve">2001</w:t>
        </w:r>
      </w:hyperlink>
      <w:r>
        <w:t xml:space="preserve">)</w:t>
      </w:r>
      <w:r>
        <w:t xml:space="preserve"> </w:t>
      </w:r>
      <w:r>
        <w:t xml:space="preserve">have since been observed in numerous investigations</w:t>
      </w:r>
      <w:r>
        <w:t xml:space="preserve"> </w:t>
      </w:r>
      <w:r>
        <w:t xml:space="preserve">(</w:t>
      </w:r>
      <w:hyperlink w:anchor="ref-hahnEffectsCategoryDiversity2005">
        <w:r>
          <w:rPr>
            <w:rStyle w:val="Hyperlink"/>
          </w:rPr>
          <w:t xml:space="preserve">Hahn et al., 2005</w:t>
        </w:r>
      </w:hyperlink>
      <w:r>
        <w:t xml:space="preserve">;</w:t>
      </w:r>
      <w:r>
        <w:t xml:space="preserve"> </w:t>
      </w:r>
      <w:hyperlink w:anchor="X0760d208c7fb826c3654e58265b5d2fbfd74038">
        <w:r>
          <w:rPr>
            <w:rStyle w:val="Hyperlink"/>
          </w:rPr>
          <w:t xml:space="preserve">Hsu &amp; Griffiths, 2010</w:t>
        </w:r>
      </w:hyperlink>
      <w:r>
        <w:t xml:space="preserve">;</w:t>
      </w:r>
      <w:r>
        <w:t xml:space="preserve"> </w:t>
      </w:r>
      <w:hyperlink w:anchor="ref-perlmanFurtherAttemptsClarify2012">
        <w:r>
          <w:rPr>
            <w:rStyle w:val="Hyperlink"/>
          </w:rPr>
          <w:t xml:space="preserve">Perlman et al., 2012</w:t>
        </w:r>
      </w:hyperlink>
      <w:r>
        <w:t xml:space="preserve">;</w:t>
      </w:r>
      <w:r>
        <w:t xml:space="preserve"> </w:t>
      </w:r>
      <w:hyperlink w:anchor="ref-sakamotoPuttingPsychologyBack2008">
        <w:r>
          <w:rPr>
            <w:rStyle w:val="Hyperlink"/>
          </w:rPr>
          <w:t xml:space="preserve">Sakamoto et al., 2008</w:t>
        </w:r>
      </w:hyperlink>
      <w:r>
        <w:t xml:space="preserve">)</w:t>
      </w:r>
      <w:r>
        <w:t xml:space="preserve">.</w:t>
      </w:r>
    </w:p>
    <w:p>
      <w:pPr>
        <w:pStyle w:val="BodyText"/>
      </w:pPr>
      <w:r>
        <w:t xml:space="preserve">The results of</w:t>
      </w:r>
      <w:r>
        <w:t xml:space="preserve"> </w:t>
      </w:r>
      <w:r>
        <w:t xml:space="preserve">Sakamoto et al. (</w:t>
      </w:r>
      <w:hyperlink w:anchor="ref-sakamotoPuttingPsychologyBack2008">
        <w:r>
          <w:rPr>
            <w:rStyle w:val="Hyperlink"/>
          </w:rPr>
          <w:t xml:space="preserve">2008</w:t>
        </w:r>
      </w:hyperlink>
      <w:r>
        <w:t xml:space="preserve">)</w:t>
      </w:r>
      <w:r>
        <w:t xml:space="preserve"> </w:t>
      </w:r>
      <w:r>
        <w:t xml:space="preserve">are noteworthy. They first reproduced the basic finding of participants being more likely to categorize an unknown middle stimulus into a training category with higher variability. In a second experiment, they held the variability between the two training categories constant and instead manipulated the training sequence, such that the examples of one category appeared in an ordered fashion, with very small changes from one example to the other (the stimuli were lines that varied only in length), whereas examples in the alternate category were shown in a random order and thus included larger jumps in the stimulus space from trial to trial. They found that the middle stimulus was more likely to be categorized into the category that had been learned with a random sequence, which was attributed to an increased perception of variability which resulted from the larger trial to trial discrepancies.</w:t>
      </w:r>
    </w:p>
    <w:p>
      <w:pPr>
        <w:pStyle w:val="BodyText"/>
      </w:pPr>
      <w:r>
        <w:t xml:space="preserve">The work of</w:t>
      </w:r>
      <w:r>
        <w:t xml:space="preserve"> </w:t>
      </w:r>
      <w:r>
        <w:t xml:space="preserve">Hahn et al. (</w:t>
      </w:r>
      <w:hyperlink w:anchor="ref-hahnEffectsCategoryDiversity2005">
        <w:r>
          <w:rPr>
            <w:rStyle w:val="Hyperlink"/>
          </w:rPr>
          <w:t xml:space="preserve">2005</w:t>
        </w:r>
      </w:hyperlink>
      <w:r>
        <w:t xml:space="preserve">)</w:t>
      </w:r>
      <w:r>
        <w:t xml:space="preserve">, is also of particular interest to the present discussion. Their experimental design was similar to previous studies, but they included a larger set of testing items which were used to assess generalization both between the two training categories as well as novel items located in the outer edges of the training categories. During generalization testing, participants were given the option to respond with</w:t>
      </w:r>
      <w:r>
        <w:t xml:space="preserve"> </w:t>
      </w:r>
      <w:r>
        <w:t xml:space="preserve">“</w:t>
      </w:r>
      <w:r>
        <w:t xml:space="preserve">neither</w:t>
      </w:r>
      <w:r>
        <w:t xml:space="preserve">”</w:t>
      </w:r>
      <w:r>
        <w:t xml:space="preserve">, in addition to responses to the two training categories. The</w:t>
      </w:r>
      <w:r>
        <w:t xml:space="preserve"> </w:t>
      </w:r>
      <w:r>
        <w:t xml:space="preserve">“</w:t>
      </w:r>
      <w:r>
        <w:t xml:space="preserve">neither</w:t>
      </w:r>
      <w:r>
        <w:t xml:space="preserve">”</w:t>
      </w:r>
      <w:r>
        <w:t xml:space="preserve"> </w:t>
      </w:r>
      <w:r>
        <w:t xml:space="preserve">response was included to test how far away in the stimulus space participants would continue to categorize novel items as belonging to a trained category. Consistent with prior findings, high-variability training resulted in an increased probability of categorizing items in between the training categories as belong to the high variability category. Additionally, participants trained with higher variability also extended the category boundary further out into the periphery than participants trained with a lower variability category were willing to do. The authors then used the standard GCM framework to compare a variety of similarity-based models to account for their results. Of particular interest are their evaluations of a category response bias parameter, and a similarity scaling parameter. A model fit improvement when the response bias parameter is allowed to vary between the high-variability and low-variability trained groups is taken to suggest a simple bias for responding with one of the trained categories over the other. Alternatively, an improvement in fit due to a separate similarity scaling parameter may reflect the groups being differentially sensitive to the distances between stimuli. No improvement in model fit was found by allowing the response-bias parameter to differ between groups, however the model performance did improvement significantly when the similarity scaling parameter was fit separately. The best fitting similarity-scaling parameters were such that the high-variability group was less sensitive to the distances between stimuli, resulting in greater similarity values between their training items and testing items. This model accounted for both the extended generalization gradients of the varied particpants, and also for their poor performance in a recognition condition. Additional model comparisons suggested that this similarity rescaling applied across the entire stimulus space, rather than to the high variability category in particular.</w:t>
      </w:r>
    </w:p>
    <w:p>
      <w:pPr>
        <w:pStyle w:val="BodyText"/>
      </w:pPr>
      <w:r>
        <w:t xml:space="preserve">Variability effects have also been examined in the higher-level domain of how learners acquire novel concepts, and then instantiate (rather than merely recognize) that concept in untrained contexts</w:t>
      </w:r>
      <w:r>
        <w:t xml:space="preserve"> </w:t>
      </w:r>
      <w:r>
        <w:t xml:space="preserve">(</w:t>
      </w:r>
      <w:hyperlink w:anchor="ref-braithwaiteEffectsVariationPrior2015">
        <w:r>
          <w:rPr>
            <w:rStyle w:val="Hyperlink"/>
          </w:rPr>
          <w:t xml:space="preserve">Braithwaite &amp; Goldstone, 2015</w:t>
        </w:r>
      </w:hyperlink>
      <w:r>
        <w:t xml:space="preserve">)</w:t>
      </w:r>
      <w:r>
        <w:t xml:space="preserve">. This study trained participants on problems involving the concept of sampling with replacement (SWR). Training consisted of examples that were either highly similar in their semantic context (e.g. all involving people selecting objects) or in which the surface features were varied between examples (e.g. people choosing objects AND objects selected in a sequence). The experimenters also surveyed how much prior knowledge each participant had with SWR. They found that whether variation was beneficial depended on the prior knowledge of the participants – such that participants with some prior knowledge benefited from varied training, whereas participants with minimal prior knowledge performed better after training with similar examples. The authors hypothesized that in order to benefit from varied examples, participants must be able to detect the structure common to the diverse examples, and that participants with prior knowledge are more likely to be sensitive to such structure, and thus to benefit from varied training. To test this hypothesis more directly, the authors conducted a 2nd experiment, wherein they controlled prior knowledge by exposing some subjects to a short graphical or verbal pre-training lesson, designed to increase sensitivity to the training examples. Consistent with their hypothesis, participants exposed to the structural sensitivity pre-training benefited more from varied training than the controls participants who benefited more from training with similar examples.</w:t>
      </w:r>
    </w:p>
    <w:p>
      <w:pPr>
        <w:pStyle w:val="BodyText"/>
      </w:pPr>
      <w:r>
        <w:t xml:space="preserve">Variability has also been examined within the realm of language learning. A particularly impressive study is that of</w:t>
      </w:r>
      <w:r>
        <w:t xml:space="preserve"> </w:t>
      </w:r>
      <w:r>
        <w:t xml:space="preserve">(</w:t>
      </w:r>
      <w:hyperlink w:anchor="ref-perryLearnLocallyThink2010">
        <w:r>
          <w:rPr>
            <w:rStyle w:val="Hyperlink"/>
          </w:rPr>
          <w:t xml:space="preserve">Perry et al., 2010</w:t>
        </w:r>
      </w:hyperlink>
      <w:r>
        <w:t xml:space="preserve">)</w:t>
      </w:r>
      <w:r>
        <w:t xml:space="preserve">. In nine training sessions spread out over nine weeks infants were trained on object labels in a naturalistic play setting. All infants were introduced to three novel objects of the same category, with participants in the tight condition being exposed to three similar exemplars of the category, and participants in the varied condition being exposed to three dissimilar objects of the same category. Importantly, the similarity of the objects was carefully controlled for by having a separate group of adult subjects provide pairwise similarity judgements of the category objects prior to the study onset. Multidimensional scaling was then performed to obtain the coordinates of the objects psychological space, and out of the 10 objects for each category, the 3 most similar objects were selected for the tight group and the three least similar objects for the varied group, with the leftover four objects being retained for testing. By the end of the nine weeks, all of the infants had learned the labels of the training objects. The varied group demonstrated superior ability to correctly generalize the object labels to untrained exemplars of the same category, a pattern consistent with much of the existing literature. More interesting was the superior performance of the varied group on a higher order generalization task – such that they were able to appropriately generalize the bias they had learned during training for attending to the shape of objects to novel solid objects, but not to non-solids. The tight training group, on the other hand, tended to overgeneralize the shape bias, leading the researchers to suggest that the varied training induced a more context-sensitive understanding of when to apply their knowledge.</w:t>
      </w:r>
    </w:p>
    <w:bookmarkEnd w:id="30"/>
    <w:bookmarkStart w:id="32" w:name="X757d188c3aac98adc9bb0be36d7834a6befcca7"/>
    <w:p>
      <w:pPr>
        <w:pStyle w:val="Heading2"/>
      </w:pPr>
      <w:r>
        <w:t xml:space="preserve">Complications to the influence of variability</w:t>
      </w:r>
    </w:p>
    <w:bookmarkStart w:id="31" w:name="sequence-effects"/>
    <w:p>
      <w:pPr>
        <w:pStyle w:val="Heading3"/>
      </w:pPr>
      <w:r>
        <w:t xml:space="preserve">Sequence Effects</w:t>
      </w:r>
    </w:p>
    <w:p>
      <w:pPr>
        <w:pStyle w:val="FirstParagraph"/>
      </w:pPr>
      <w:r>
        <w:t xml:space="preserve">A necessary consequence of varied training is that participants will have the experience of switching from one task condition to another. The number of switches can vary greatly, with the two extremes being varied participants completing all of their training trials in one before switching to the next condition (blocked sequencing), or if they alternate between conditions on a trial by trial basis (random/intermixed/interleaved sequencing). Not long after the initial influx of schema-theory inspired studies testing the benefits of variability hypothesis was shown that the influence of varied training might interact with the type of training sequence chosen by the experimenter</w:t>
      </w:r>
      <w:r>
        <w:t xml:space="preserve"> </w:t>
      </w:r>
      <w:r>
        <w:t xml:space="preserve">(</w:t>
      </w:r>
      <w:hyperlink w:anchor="X2555b11222547f6d73644fb60c8e783adf324da">
        <w:r>
          <w:rPr>
            <w:rStyle w:val="Hyperlink"/>
          </w:rPr>
          <w:t xml:space="preserve">J. B. Shea &amp; Morgan, 1979</w:t>
        </w:r>
      </w:hyperlink>
      <w:r>
        <w:t xml:space="preserve">)</w:t>
      </w:r>
      <w:r>
        <w:t xml:space="preserve">. In this seminal study, both groups of training subjects trained with the same number of trials of three separate movement patterns. A blocked group that completed all of their trials with one sequence before beginning the next sequence, and a random group that trained with all three movement patterns interspersed throughout the course of training. Participants were also randomly assigned to retention testing under either blocked or random sequence conditions, thus resulting in all four training-testing combinations of blocked-blocked; blocked-random; random-blocked; random-random. There was some effect of sequence context, such that both groups performed better when the testing sequence matched their training sequence. However, the main finding of interest was the advantage of random-training, which resulted in superior testing performance than blocked training regardless of whether the testing stage had a blocked or random sequence, an effect observed both immediately after training, and in a follow up test ten days after the end of training.</w:t>
      </w:r>
    </w:p>
    <w:p>
      <w:pPr>
        <w:pStyle w:val="BodyText"/>
      </w:pPr>
      <w:r>
        <w:t xml:space="preserve">Prior to the influential</w:t>
      </w:r>
      <w:r>
        <w:t xml:space="preserve"> </w:t>
      </w:r>
      <w:r>
        <w:t xml:space="preserve">J. B. Shea &amp; Morgan (</w:t>
      </w:r>
      <w:hyperlink w:anchor="X2555b11222547f6d73644fb60c8e783adf324da">
        <w:r>
          <w:rPr>
            <w:rStyle w:val="Hyperlink"/>
          </w:rPr>
          <w:t xml:space="preserve">1979</w:t>
        </w:r>
      </w:hyperlink>
      <w:r>
        <w:t xml:space="preserve">)</w:t>
      </w:r>
      <w:r>
        <w:t xml:space="preserve"> </w:t>
      </w:r>
      <w:r>
        <w:t xml:space="preserve">study, studies investigating the benefits of variability hypothesis had utilized both blocked and random training schedules, often without comment or justification. It was later observed</w:t>
      </w:r>
      <w:r>
        <w:t xml:space="preserve"> </w:t>
      </w:r>
      <w:r>
        <w:t xml:space="preserve">(</w:t>
      </w:r>
      <w:hyperlink w:anchor="ref-leeInfluencePracticeSchedule1985">
        <w:r>
          <w:rPr>
            <w:rStyle w:val="Hyperlink"/>
          </w:rPr>
          <w:t xml:space="preserve">Lee et al., 1985</w:t>
        </w:r>
      </w:hyperlink>
      <w:r>
        <w:t xml:space="preserve">)</w:t>
      </w:r>
      <w:r>
        <w:t xml:space="preserve"> </w:t>
      </w:r>
      <w:r>
        <w:t xml:space="preserve">that positive evidence for benefits of varied training seemed more likely to occur for studies that utilized random schedules. The theoretical basis of such studies was invariably an appeal to Schmidt’s schema theory; however schema theory made no clear predictions of an effect of study sequence on retention or generalization, thus prompting the need for alternate accounts. One such account, the elaborative processing account</w:t>
      </w:r>
      <w:r>
        <w:t xml:space="preserve"> </w:t>
      </w:r>
      <w:r>
        <w:t xml:space="preserve">(</w:t>
      </w:r>
      <w:hyperlink w:anchor="ref-sheaContextEffectsMemory1983">
        <w:r>
          <w:rPr>
            <w:rStyle w:val="Hyperlink"/>
          </w:rPr>
          <w:t xml:space="preserve">J. B. Shea &amp; Zimny, 1983</w:t>
        </w:r>
      </w:hyperlink>
      <w:r>
        <w:t xml:space="preserve">)</w:t>
      </w:r>
      <w:r>
        <w:t xml:space="preserve">, draws on the earlier work</w:t>
      </w:r>
      <w:r>
        <w:t xml:space="preserve"> </w:t>
      </w:r>
      <w:r>
        <w:t xml:space="preserve">(</w:t>
      </w:r>
      <w:hyperlink w:anchor="ref-battigFacilitationInterference1966">
        <w:r>
          <w:rPr>
            <w:rStyle w:val="Hyperlink"/>
          </w:rPr>
          <w:t xml:space="preserve">Battig, 1966</w:t>
        </w:r>
      </w:hyperlink>
      <w:r>
        <w:t xml:space="preserve">)</w:t>
      </w:r>
      <w:r>
        <w:t xml:space="preserve"> </w:t>
      </w:r>
      <w:r>
        <w:t xml:space="preserve">and argues that randomly sequencing conditions during training promotes comparison and contrastive processes between those conditions, which result in a deeper understanding of the training task than could arise via blocked sequencing. Supporting evidence for elaborative processing comes in the form of random-sequence trained subjects self-reporting more nuanced mental representations of movement patterns following training</w:t>
      </w:r>
      <w:r>
        <w:t xml:space="preserve"> </w:t>
      </w:r>
      <w:r>
        <w:t xml:space="preserve">(</w:t>
      </w:r>
      <w:hyperlink w:anchor="ref-sheaContextEffectsMemory1983">
        <w:r>
          <w:rPr>
            <w:rStyle w:val="Hyperlink"/>
          </w:rPr>
          <w:t xml:space="preserve">J. B. Shea &amp; Zimny, 1983</w:t>
        </w:r>
      </w:hyperlink>
      <w:r>
        <w:t xml:space="preserve">)</w:t>
      </w:r>
      <w:r>
        <w:t xml:space="preserve">, and by manipulating whether subjects are able to perform comparisons during training</w:t>
      </w:r>
      <w:r>
        <w:t xml:space="preserve"> </w:t>
      </w:r>
      <w:r>
        <w:t xml:space="preserve">(</w:t>
      </w:r>
      <w:hyperlink w:anchor="Xc1faf3e1694bc67f4086f5bf946ea1e179ceee4">
        <w:r>
          <w:rPr>
            <w:rStyle w:val="Hyperlink"/>
          </w:rPr>
          <w:t xml:space="preserve">Wright et al., 1992</w:t>
        </w:r>
      </w:hyperlink>
      <w:r>
        <w:t xml:space="preserve">)</w:t>
      </w:r>
      <w:r>
        <w:t xml:space="preserve">. An alternative, though not incompatible account suggests that the benefits of random-sequencing are a result of such sequences forcing the learner to continually reconstruct the relevant motor task in working memory</w:t>
      </w:r>
      <w:r>
        <w:t xml:space="preserve"> </w:t>
      </w:r>
      <w:r>
        <w:t xml:space="preserve">(</w:t>
      </w:r>
      <w:hyperlink w:anchor="ref-leeLocusContextualInterference">
        <w:r>
          <w:rPr>
            <w:rStyle w:val="Hyperlink"/>
          </w:rPr>
          <w:t xml:space="preserve">Lee &amp; Magill, n.d.</w:t>
        </w:r>
      </w:hyperlink>
      <w:r>
        <w:t xml:space="preserve">)</w:t>
      </w:r>
      <w:r>
        <w:t xml:space="preserve">. Blocked training, on the other hand, allows the learner to maintain the same motor task in short term memory without decay for much of the training which facilitates training performance, but hinders ability to retrieve the appropriate motor memory in a later testing context. A much more recent study</w:t>
      </w:r>
      <w:r>
        <w:t xml:space="preserve"> </w:t>
      </w:r>
      <w:r>
        <w:t xml:space="preserve">(</w:t>
      </w:r>
      <w:hyperlink w:anchor="ref-chuaPracticeVariabilityPromotes2019">
        <w:r>
          <w:rPr>
            <w:rStyle w:val="Hyperlink"/>
          </w:rPr>
          <w:t xml:space="preserve">Chua et al., 2019</w:t>
        </w:r>
      </w:hyperlink>
      <w:r>
        <w:t xml:space="preserve">)</w:t>
      </w:r>
      <w:r>
        <w:t xml:space="preserve">, replicates the standard findings of an advantage of varied training over constant training (expt 1, bean-bag throwing task), and of random training over blocked training (expt 2 &amp; 3, bean-bag throwing &amp; golf putting). The novelty of this study is that the experimenters queried subjects about their attentional focus throughout the training stage. In all three experiments varied or random trained-subjects reported significantly greater external attention (e.g. attending to the target distance), and constant or blocked subjects reported more internal attention (e.g. posture or hand position). The authors argue that the benefits of varied/random training may be mediated by changes in attentional focus, however the claims made in the paper seem to go far beyond what can be justified by the analyses reported – e.g. the increased external focus could be a simple byproduct of varied training. A stronger form of evidence that was not provided may have been to use multiple regression analyses to show that the testing advantage of the varied/random groups over the constant/blocked groups could be accounted for by the differences in self-reported attentional focus.</w:t>
      </w:r>
    </w:p>
    <w:bookmarkEnd w:id="31"/>
    <w:bookmarkEnd w:id="32"/>
    <w:bookmarkStart w:id="33" w:name="other-task-and-participant-effects"/>
    <w:p>
      <w:pPr>
        <w:pStyle w:val="Heading2"/>
      </w:pPr>
      <w:r>
        <w:t xml:space="preserve">Other task and participant effects</w:t>
      </w:r>
    </w:p>
    <w:p>
      <w:pPr>
        <w:pStyle w:val="FirstParagraph"/>
      </w:pPr>
      <w:r>
        <w:t xml:space="preserve">Of course, the effects of varied training, and different training sequences, are likely to be far more complex than simply more varied training being better than less, or random training being better than blocked. Null effects of both manipulations have been reported</w:t>
      </w:r>
      <w:r>
        <w:t xml:space="preserve"> </w:t>
      </w:r>
      <w:r>
        <w:t xml:space="preserve">(see</w:t>
      </w:r>
      <w:r>
        <w:t xml:space="preserve"> </w:t>
      </w:r>
      <w:hyperlink w:anchor="X034109ad4eb02be7a6467e1e074292ceb627b90">
        <w:r>
          <w:rPr>
            <w:rStyle w:val="Hyperlink"/>
          </w:rPr>
          <w:t xml:space="preserve">Magill &amp; Hall, 1990</w:t>
        </w:r>
      </w:hyperlink>
      <w:r>
        <w:t xml:space="preserve">;</w:t>
      </w:r>
      <w:r>
        <w:t xml:space="preserve"> </w:t>
      </w:r>
      <w:hyperlink w:anchor="ref-vanrossumSchmidtSchemaTheory1990">
        <w:r>
          <w:rPr>
            <w:rStyle w:val="Hyperlink"/>
          </w:rPr>
          <w:t xml:space="preserve">Van Rossum, 1990</w:t>
        </w:r>
      </w:hyperlink>
      <w:r>
        <w:t xml:space="preserve"> </w:t>
      </w:r>
      <w:r>
        <w:t xml:space="preserve">for reviews)</w:t>
      </w:r>
      <w:r>
        <w:t xml:space="preserve">, and a variety of moderators have emerged. In one of the earlier examples of the complex relationship between study sequence and learning</w:t>
      </w:r>
      <w:r>
        <w:t xml:space="preserve"> </w:t>
      </w:r>
      <w:r>
        <w:t xml:space="preserve">(</w:t>
      </w:r>
      <w:hyperlink w:anchor="X982d247e319d4147684807c41a82baf6eae6932">
        <w:r>
          <w:rPr>
            <w:rStyle w:val="Hyperlink"/>
          </w:rPr>
          <w:t xml:space="preserve">Del Rey et al., 1982</w:t>
        </w:r>
      </w:hyperlink>
      <w:r>
        <w:t xml:space="preserve">)</w:t>
      </w:r>
      <w:r>
        <w:t xml:space="preserve">, experimenters recruited participants who self-reported either large amounts, or very little experience with athletic actives, and then trained participants on a coincident timing task under with either a single constant training velocity, or with four training velocities under either blocked, or random training sequence conditions - resulting in six experimental conditions: (athlete vs. non-athlete) x (constant vs. blocked vs. random training). Athlete participants had superior performance during training, regardless of sequence condition, and training performance was superior for all subjects in the constant group, followed by blocked training in the middle, and then random training resulting in the worst training performance. Of greater interest is the pattern of testing results for novel transfer conditions. Among the athlete-participants, transfer performance was best for those who received random training, followed by blocked, and then constant training. Non-athletes showed the opposite pattern, with superior performance for those who had constant training. A similar pattern was later observed in a golf-putting training study, wherein participants who had some prior golf experience benefited most from random-sequenced training, and participants with no golf experience benefited most from blocked training</w:t>
      </w:r>
      <w:r>
        <w:t xml:space="preserve"> </w:t>
      </w:r>
      <w:r>
        <w:t xml:space="preserve">(</w:t>
      </w:r>
      <w:hyperlink w:anchor="X3bd2e91f379ffe38ec6c9303cb8726a99e1e97c">
        <w:r>
          <w:rPr>
            <w:rStyle w:val="Hyperlink"/>
          </w:rPr>
          <w:t xml:space="preserve">Guadagnoli et al., 1999</w:t>
        </w:r>
      </w:hyperlink>
      <w:r>
        <w:t xml:space="preserve">)</w:t>
      </w:r>
      <w:r>
        <w:t xml:space="preserve">. More recently, the same pattern was observed in the concept learning literature</w:t>
      </w:r>
      <w:r>
        <w:t xml:space="preserve"> </w:t>
      </w:r>
      <w:r>
        <w:t xml:space="preserve">(</w:t>
      </w:r>
      <w:hyperlink w:anchor="ref-braithwaiteEffectsVariationPrior2015">
        <w:r>
          <w:rPr>
            <w:rStyle w:val="Hyperlink"/>
          </w:rPr>
          <w:t xml:space="preserve">Braithwaite &amp; Goldstone, 2015</w:t>
        </w:r>
      </w:hyperlink>
      <w:r>
        <w:t xml:space="preserve"> </w:t>
      </w:r>
      <w:r>
        <w:t xml:space="preserve">expt 1.)</w:t>
      </w:r>
      <w:r>
        <w:t xml:space="preserve">. This study trained participants on a mathematical concept and found that participants who self-reported some prior experience with the concept improved more from pre-test to post-test after training with varied examples, while participants who reported no prior experience showed greater gains following training with highly similar examples.</w:t>
      </w:r>
    </w:p>
    <w:p>
      <w:pPr>
        <w:pStyle w:val="BodyText"/>
      </w:pPr>
      <w:r>
        <w:t xml:space="preserve">In addition to the influence of prior experiences described above, ample evidence also suggests that numerous aspects of the experiment may also interact with the influence of variation. One important study examined the impact of the amount of training completed in a force production task</w:t>
      </w:r>
      <w:r>
        <w:t xml:space="preserve"> </w:t>
      </w:r>
      <w:r>
        <w:t xml:space="preserve">(</w:t>
      </w:r>
      <w:hyperlink w:anchor="X8219da891ffbe1659a6c1c1af076e3074574baf">
        <w:r>
          <w:rPr>
            <w:rStyle w:val="Hyperlink"/>
          </w:rPr>
          <w:t xml:space="preserve">C. H. Shea et al., 1990</w:t>
        </w:r>
      </w:hyperlink>
      <w:r>
        <w:t xml:space="preserve">)</w:t>
      </w:r>
      <w:r>
        <w:t xml:space="preserve">. This study employed a typical blocked vs. random training procedure, but with the additional manipulation of separate groups receiving 50, 200, or 400 total training trials. For the group that received only 50 training trials retention was best when training had been blocked. However, for the conditions that received 200 or 400 training trials the pattern was reversed, with random training resulting in superior retention than blocked training. These results were taken to suggest that the benefits of randomization may take time to emerge. Another experimental factor shown to interact with training sequence is the complexity of the training task</w:t>
      </w:r>
      <w:r>
        <w:t xml:space="preserve"> </w:t>
      </w:r>
      <w:r>
        <w:t xml:space="preserve">(</w:t>
      </w:r>
      <w:hyperlink w:anchor="ref-albaretDifferentialEffectsTask1998">
        <w:r>
          <w:rPr>
            <w:rStyle w:val="Hyperlink"/>
          </w:rPr>
          <w:t xml:space="preserve">Albaret &amp; Thon, 1998</w:t>
        </w:r>
      </w:hyperlink>
      <w:r>
        <w:t xml:space="preserve">)</w:t>
      </w:r>
      <w:r>
        <w:t xml:space="preserve">. In addition to random or blocked training, participants in this study were assigned to train on a drawing task at one of three different levels of complexity (reproducing from memory shapes composed of two, three or four components). On a transfer task 48 hours after the completion of training, only participants trained at the lower levels of task complexity (2 or 3 components) showed superior performance to the blocked condition. The authors suggest that the benefits of random sequencing, thought to arise from more elaborate cognitive processing, or the necessity of continually recalling task information from long term into short term memory, are more likely to be obscured as the complexity of the task forces the blocked participants to also engage in such processes.</w:t>
      </w:r>
    </w:p>
    <w:p>
      <w:pPr>
        <w:pStyle w:val="BodyText"/>
      </w:pPr>
      <w:r>
        <w:t xml:space="preserve">A final important influence of particular relevance to the practice-sequence literature concerns the exact structure of</w:t>
      </w:r>
      <w:r>
        <w:t xml:space="preserve"> </w:t>
      </w:r>
      <w:r>
        <w:t xml:space="preserve">“</w:t>
      </w:r>
      <w:r>
        <w:t xml:space="preserve">random</w:t>
      </w:r>
      <w:r>
        <w:t xml:space="preserve">”</w:t>
      </w:r>
      <w:r>
        <w:t xml:space="preserve"> </w:t>
      </w:r>
      <w:r>
        <w:t xml:space="preserve">sequencing. Although the term random is commonly used for convenience, experimenters do not typically leave the order of training entirely up to chance. Rather, the training sequence is often constrained such that each condition must occur a minimum number of times in each quartile of the training phase, thus resulting in an even distribution the conditions throughout training. While the assurance of the conditions being evenly spread throughout training is consistent across studies, other aspects of the sequence structure are a bit more idiosyncratic. Some researchers report setting a maximum number of consecutive repetitions, e.g. no more than 2 consecutive trials of the same condition</w:t>
      </w:r>
      <w:r>
        <w:t xml:space="preserve"> </w:t>
      </w:r>
      <w:r>
        <w:t xml:space="preserve">(</w:t>
      </w:r>
      <w:hyperlink w:anchor="X982d247e319d4147684807c41a82baf6eae6932">
        <w:r>
          <w:rPr>
            <w:rStyle w:val="Hyperlink"/>
          </w:rPr>
          <w:t xml:space="preserve">Del Rey et al., 1982</w:t>
        </w:r>
      </w:hyperlink>
      <w:r>
        <w:t xml:space="preserve">;</w:t>
      </w:r>
      <w:r>
        <w:t xml:space="preserve"> </w:t>
      </w:r>
      <w:hyperlink w:anchor="X2555b11222547f6d73644fb60c8e783adf324da">
        <w:r>
          <w:rPr>
            <w:rStyle w:val="Hyperlink"/>
          </w:rPr>
          <w:t xml:space="preserve">J. B. Shea &amp; Morgan, 1979</w:t>
        </w:r>
      </w:hyperlink>
      <w:r>
        <w:t xml:space="preserve">)</w:t>
      </w:r>
      <w:r>
        <w:t xml:space="preserve">, or structure the random trials such that the same condition never occurs consecutively</w:t>
      </w:r>
      <w:r>
        <w:t xml:space="preserve"> </w:t>
      </w:r>
      <w:r>
        <w:t xml:space="preserve">(</w:t>
      </w:r>
      <w:hyperlink w:anchor="ref-wulfEffectTypePractice1991">
        <w:r>
          <w:rPr>
            <w:rStyle w:val="Hyperlink"/>
          </w:rPr>
          <w:t xml:space="preserve">Wulf, 1991</w:t>
        </w:r>
      </w:hyperlink>
      <w:r>
        <w:t xml:space="preserve">)</w:t>
      </w:r>
      <w:r>
        <w:t xml:space="preserve">. Also common is to structure experiments such that random condition really consists of many small blocks, where participants do a few trials of one condition consecutively and then switch to another condition</w:t>
      </w:r>
      <w:r>
        <w:t xml:space="preserve"> </w:t>
      </w:r>
      <w:r>
        <w:t xml:space="preserve">(</w:t>
      </w:r>
      <w:hyperlink w:anchor="ref-chuaPracticeVariabilityPromotes2019">
        <w:r>
          <w:rPr>
            <w:rStyle w:val="Hyperlink"/>
          </w:rPr>
          <w:t xml:space="preserve">Chua et al., 2019</w:t>
        </w:r>
      </w:hyperlink>
      <w:r>
        <w:t xml:space="preserve">;</w:t>
      </w:r>
      <w:r>
        <w:t xml:space="preserve"> </w:t>
      </w:r>
      <w:hyperlink w:anchor="ref-willeyLongtermMotorLearning2018">
        <w:r>
          <w:rPr>
            <w:rStyle w:val="Hyperlink"/>
          </w:rPr>
          <w:t xml:space="preserve">Willey &amp; Liu, 2018b</w:t>
        </w:r>
      </w:hyperlink>
      <w:r>
        <w:t xml:space="preserve">;</w:t>
      </w:r>
      <w:r>
        <w:t xml:space="preserve"> </w:t>
      </w:r>
      <w:hyperlink w:anchor="X05a5acade1fdd8bd616f6380d0ca460d0ffe88c">
        <w:r>
          <w:rPr>
            <w:rStyle w:val="Hyperlink"/>
          </w:rPr>
          <w:t xml:space="preserve">Wrisberg et al., 1987</w:t>
        </w:r>
      </w:hyperlink>
      <w:r>
        <w:t xml:space="preserve">)</w:t>
      </w:r>
      <w:r>
        <w:t xml:space="preserve">, resulting in many more switches than would arise if training was perfectly blocked. The question of whether such differences in the structure of random sequencing are consequential has been addressed experimentally a few times, in all cases consisting of a 1) a no-repeat random condition; 2) a blocked random condition (typically 3 or 4 repeats before a switch); and 3) a standard fully-blocked condition. Blocked-random training resulted in better performance than either repeat-random, or fully - blocked training in both a bean-bag throwing</w:t>
      </w:r>
      <w:r>
        <w:t xml:space="preserve"> </w:t>
      </w:r>
      <w:r>
        <w:t xml:space="preserve">(</w:t>
      </w:r>
      <w:hyperlink w:anchor="ref-pigottMotorSchemaStructure1984">
        <w:r>
          <w:rPr>
            <w:rStyle w:val="Hyperlink"/>
          </w:rPr>
          <w:t xml:space="preserve">Pigott &amp; Shapiro, 1984</w:t>
        </w:r>
      </w:hyperlink>
      <w:r>
        <w:t xml:space="preserve">)</w:t>
      </w:r>
      <w:r>
        <w:t xml:space="preserve">, and basketball shot training study</w:t>
      </w:r>
      <w:r>
        <w:t xml:space="preserve"> </w:t>
      </w:r>
      <w:r>
        <w:t xml:space="preserve">(</w:t>
      </w:r>
      <w:hyperlink w:anchor="ref-landinComparisonThreePractice1997">
        <w:r>
          <w:rPr>
            <w:rStyle w:val="Hyperlink"/>
          </w:rPr>
          <w:t xml:space="preserve">Landin &amp; Hebert, 1997</w:t>
        </w:r>
      </w:hyperlink>
      <w:r>
        <w:t xml:space="preserve">)</w:t>
      </w:r>
      <w:r>
        <w:t xml:space="preserve">, and in a replication plus extension of the seminal</w:t>
      </w:r>
      <w:r>
        <w:t xml:space="preserve"> </w:t>
      </w:r>
      <w:r>
        <w:t xml:space="preserve">(</w:t>
      </w:r>
      <w:hyperlink w:anchor="X2555b11222547f6d73644fb60c8e783adf324da">
        <w:r>
          <w:rPr>
            <w:rStyle w:val="Hyperlink"/>
          </w:rPr>
          <w:t xml:space="preserve">J. B. Shea &amp; Morgan, 1979</w:t>
        </w:r>
      </w:hyperlink>
      <w:r>
        <w:t xml:space="preserve">)</w:t>
      </w:r>
      <w:r>
        <w:t xml:space="preserve"> </w:t>
      </w:r>
      <w:r>
        <w:t xml:space="preserve">study, blocked-random training was equally effective as no-repeat random training, with both random structures leading to better performance than the fully-blocked training condition. Consequences on different study schedules have also been repeatedly observed in the category learning literature</w:t>
      </w:r>
      <w:r>
        <w:t xml:space="preserve"> </w:t>
      </w:r>
      <w:r>
        <w:t xml:space="preserve">(</w:t>
      </w:r>
      <w:hyperlink w:anchor="ref-carvalhoPuttingCategoryLearning2014">
        <w:r>
          <w:rPr>
            <w:rStyle w:val="Hyperlink"/>
          </w:rPr>
          <w:t xml:space="preserve">Carvalho &amp; Goldstone, 2014</w:t>
        </w:r>
      </w:hyperlink>
      <w:r>
        <w:t xml:space="preserve">,</w:t>
      </w:r>
      <w:r>
        <w:t xml:space="preserve"> </w:t>
      </w:r>
      <w:hyperlink w:anchor="ref-carvalhoSequenceStudyChanges2017">
        <w:r>
          <w:rPr>
            <w:rStyle w:val="Hyperlink"/>
          </w:rPr>
          <w:t xml:space="preserve">2017</w:t>
        </w:r>
      </w:hyperlink>
      <w:r>
        <w:t xml:space="preserve">)</w:t>
      </w:r>
      <w:r>
        <w:t xml:space="preserve">. This line of research has revealed that the effects of blocking vs. interleaving can depend on the structure of the category being learned, and also that the different schedules can result in the participants requiring different representations. A fruitful line of inquiry in the motor skill learning literature may be to attempt to identify whether structural aspects of the motor task interact with different training sequences in a reliable manner.</w:t>
      </w:r>
    </w:p>
    <w:p>
      <w:pPr>
        <w:pStyle w:val="BodyText"/>
      </w:pPr>
      <w:r>
        <w:t xml:space="preserve">Numerous researchers have attempted to provide coherent frameworks to account for the full range of influences of training variation and sequencing described above (along with many other effects not discussed). Such accounts are generally quite similar, invoking ideas of desirable levels of difficulty</w:t>
      </w:r>
      <w:r>
        <w:t xml:space="preserve"> </w:t>
      </w:r>
      <w:r>
        <w:t xml:space="preserve">(</w:t>
      </w:r>
      <w:hyperlink w:anchor="ref-bjorkNewTheoryDisuse1992">
        <w:r>
          <w:rPr>
            <w:rStyle w:val="Hyperlink"/>
          </w:rPr>
          <w:t xml:space="preserve">Bjork &amp; Bjork, 1992</w:t>
        </w:r>
      </w:hyperlink>
      <w:r>
        <w:t xml:space="preserve">;</w:t>
      </w:r>
      <w:r>
        <w:t xml:space="preserve"> </w:t>
      </w:r>
      <w:hyperlink w:anchor="X991c7e934294b3dea74f5728c3aa47ea65eb872">
        <w:r>
          <w:rPr>
            <w:rStyle w:val="Hyperlink"/>
          </w:rPr>
          <w:t xml:space="preserve">Schmidt &amp; Bjork, 1992</w:t>
        </w:r>
      </w:hyperlink>
      <w:r>
        <w:t xml:space="preserve">)</w:t>
      </w:r>
      <w:r>
        <w:t xml:space="preserve">, or optimal challenge points</w:t>
      </w:r>
      <w:r>
        <w:t xml:space="preserve"> </w:t>
      </w:r>
      <w:r>
        <w:t xml:space="preserve">(</w:t>
      </w:r>
      <w:hyperlink w:anchor="X62173b926585d4ea07a5df59dd37e816a18bbe7">
        <w:r>
          <w:rPr>
            <w:rStyle w:val="Hyperlink"/>
          </w:rPr>
          <w:t xml:space="preserve">Guadagnoli &amp; Lee, 2004</w:t>
        </w:r>
      </w:hyperlink>
      <w:r>
        <w:t xml:space="preserve">)</w:t>
      </w:r>
      <w:r>
        <w:t xml:space="preserve">. They tend to start by describing the dissociation between acquisition performance (performance during training) and testing performance (delayed retention and/or transfer), most strikingly observed as varied/random training participants performing worse than their constant/blocked counterparts during the training stage of the study, but then outperforming the constant/blocked comparisons at a later retention or transfer stage. This observation is then used to justify the idea that the most enduring and generalizable learning occurs by training at an optimal level of training difficulty, with difficulty being some function of the experience of the learner, and the cognitive or visuomotor processing demands of the task. It then follows that the factors that tend to make training more difficult (i.e. increased variability or randomization), are more likely to be beneficial when the learner has some experience, or when the processing demands of the task are not too extreme (which may only occur after some experience with the task). Such frameworks may be helpful heuristics in some cases, but they also seem to be overly flexible such that any null result of some intervention might be accounted for by a suboptimal amount of training trials, or by suggesting the training task was too difficult. The development of computational models that can account for how changes in the parameters of the motor-skill task scale with difficulty, would be a great step forward.</w:t>
      </w:r>
    </w:p>
    <w:bookmarkEnd w:id="33"/>
    <w:bookmarkEnd w:id="34"/>
    <w:bookmarkStart w:id="81" w:name="project-1"/>
    <w:p>
      <w:pPr>
        <w:pStyle w:val="Heading1"/>
      </w:pPr>
      <w:r>
        <w:t xml:space="preserve">Project 1</w:t>
      </w:r>
    </w:p>
    <w:bookmarkStart w:id="35" w:name="abstract-1"/>
    <w:p>
      <w:pPr>
        <w:pStyle w:val="Heading2"/>
      </w:pPr>
      <w:r>
        <w:t xml:space="preserve">Abstract</w:t>
      </w:r>
    </w:p>
    <w:p>
      <w:pPr>
        <w:pStyle w:val="FirstParagraph"/>
      </w:pPr>
      <w:r>
        <w:t xml:space="preserve">Exposing learners to variability during training has been demonstrated</w:t>
      </w:r>
      <w:r>
        <w:t xml:space="preserve"> </w:t>
      </w:r>
      <w:r>
        <w:t xml:space="preserve">to improve performance in subsequent transfer testing. Such variability</w:t>
      </w:r>
      <w:r>
        <w:t xml:space="preserve"> </w:t>
      </w:r>
      <w:r>
        <w:t xml:space="preserve">benefits are often accounted for by assuming that learners are</w:t>
      </w:r>
      <w:r>
        <w:t xml:space="preserve"> </w:t>
      </w:r>
      <w:r>
        <w:t xml:space="preserve">developing some general task schema or structure. However much of this</w:t>
      </w:r>
      <w:r>
        <w:t xml:space="preserve"> </w:t>
      </w:r>
      <w:r>
        <w:t xml:space="preserve">research has neglected to account for differences in similarity between</w:t>
      </w:r>
      <w:r>
        <w:t xml:space="preserve"> </w:t>
      </w:r>
      <w:r>
        <w:t xml:space="preserve">varied and constant training conditions. In a between-groups</w:t>
      </w:r>
      <w:r>
        <w:t xml:space="preserve"> </w:t>
      </w:r>
      <w:r>
        <w:t xml:space="preserve">manipulation, we trained participants on a simple projectile launching</w:t>
      </w:r>
      <w:r>
        <w:t xml:space="preserve"> </w:t>
      </w:r>
      <w:r>
        <w:t xml:space="preserve">task, with either varied or constant conditions. We replicate previous</w:t>
      </w:r>
      <w:r>
        <w:t xml:space="preserve"> </w:t>
      </w:r>
      <w:r>
        <w:t xml:space="preserve">findings showing a transfer advantage of varied over constant training.</w:t>
      </w:r>
      <w:r>
        <w:t xml:space="preserve"> </w:t>
      </w:r>
      <w:r>
        <w:t xml:space="preserve">Furthermore, we show that a standard similarity model is insufficient to</w:t>
      </w:r>
      <w:r>
        <w:t xml:space="preserve"> </w:t>
      </w:r>
      <w:r>
        <w:t xml:space="preserve">account for the benefits of variation, but, if the model is adjusted to</w:t>
      </w:r>
      <w:r>
        <w:t xml:space="preserve"> </w:t>
      </w:r>
      <w:r>
        <w:t xml:space="preserve">assume that varied learners are tuned towards a broader generalization</w:t>
      </w:r>
      <w:r>
        <w:t xml:space="preserve"> </w:t>
      </w:r>
      <w:r>
        <w:t xml:space="preserve">gradient, then a similarity-based model is sufficient to explain the</w:t>
      </w:r>
      <w:r>
        <w:t xml:space="preserve"> </w:t>
      </w:r>
      <w:r>
        <w:t xml:space="preserve">observed benefits of variation. Our results therefore suggest that some</w:t>
      </w:r>
      <w:r>
        <w:t xml:space="preserve"> </w:t>
      </w:r>
      <w:r>
        <w:t xml:space="preserve">variability benefits can be accommodated within instance-based models</w:t>
      </w:r>
      <w:r>
        <w:t xml:space="preserve"> </w:t>
      </w:r>
      <w:r>
        <w:t xml:space="preserve">without positing the learning of some schemata or structure.</w:t>
      </w:r>
    </w:p>
    <w:bookmarkEnd w:id="35"/>
    <w:bookmarkStart w:id="37" w:name="introduction"/>
    <w:p>
      <w:pPr>
        <w:pStyle w:val="Heading2"/>
      </w:pPr>
      <w:r>
        <w:t xml:space="preserve">Introduction</w:t>
      </w:r>
    </w:p>
    <w:p>
      <w:pPr>
        <w:pStyle w:val="FirstParagraph"/>
      </w:pPr>
      <w:r>
        <w:t xml:space="preserve">The past century of research on human learning has produced ample</w:t>
      </w:r>
      <w:r>
        <w:t xml:space="preserve"> </w:t>
      </w:r>
      <w:r>
        <w:t xml:space="preserve">evidence that although learners can improve at almost any task, such</w:t>
      </w:r>
      <w:r>
        <w:t xml:space="preserve"> </w:t>
      </w:r>
      <w:r>
        <w:t xml:space="preserve">improvements are often specific to the trained task, with unreliable or</w:t>
      </w:r>
      <w:r>
        <w:t xml:space="preserve"> </w:t>
      </w:r>
      <w:r>
        <w:t xml:space="preserve">even nonexistent transfer to novel tasks or conditions</w:t>
      </w:r>
      <w:r>
        <w:t xml:space="preserve"> </w:t>
      </w:r>
      <w:r>
        <w:t xml:space="preserve">(</w:t>
      </w:r>
      <w:hyperlink w:anchor="ref-barnettWhenWhereWe2002">
        <w:r>
          <w:rPr>
            <w:rStyle w:val="Hyperlink"/>
          </w:rPr>
          <w:t xml:space="preserve">Barnett &amp; Ceci, 2002</w:t>
        </w:r>
      </w:hyperlink>
      <w:r>
        <w:t xml:space="preserve">;</w:t>
      </w:r>
      <w:r>
        <w:t xml:space="preserve"> </w:t>
      </w:r>
      <w:hyperlink w:anchor="ref-dettermanCaseProsecutionTransfer1993">
        <w:r>
          <w:rPr>
            <w:rStyle w:val="Hyperlink"/>
          </w:rPr>
          <w:t xml:space="preserve">Detterman, 1993</w:t>
        </w:r>
      </w:hyperlink>
      <w:r>
        <w:t xml:space="preserve">)</w:t>
      </w:r>
      <w:r>
        <w:t xml:space="preserve">. Such</w:t>
      </w:r>
      <w:r>
        <w:t xml:space="preserve"> </w:t>
      </w:r>
      <w:r>
        <w:t xml:space="preserve">transfer challenges are of noteworthy practical relevance, given that</w:t>
      </w:r>
      <w:r>
        <w:t xml:space="preserve"> </w:t>
      </w:r>
      <w:r>
        <w:t xml:space="preserve">educators, trainers, and rehabilitators typically intend for their</w:t>
      </w:r>
      <w:r>
        <w:t xml:space="preserve"> </w:t>
      </w:r>
      <w:r>
        <w:t xml:space="preserve">students to be able to apply what they have learned to new situations.</w:t>
      </w:r>
      <w:r>
        <w:t xml:space="preserve"> </w:t>
      </w:r>
      <w:r>
        <w:t xml:space="preserve">It is therefore important to better understand the factors that</w:t>
      </w:r>
      <w:r>
        <w:t xml:space="preserve"> </w:t>
      </w:r>
      <w:r>
        <w:t xml:space="preserve">influence transfer, and to develop cognitive models that can predict</w:t>
      </w:r>
      <w:r>
        <w:t xml:space="preserve"> </w:t>
      </w:r>
      <w:r>
        <w:t xml:space="preserve">when transfer is likely to occur. The factor of interest to the present</w:t>
      </w:r>
      <w:r>
        <w:t xml:space="preserve"> </w:t>
      </w:r>
      <w:r>
        <w:t xml:space="preserve">investigation is variation during training. Our experiments add to the</w:t>
      </w:r>
      <w:r>
        <w:t xml:space="preserve"> </w:t>
      </w:r>
      <w:r>
        <w:t xml:space="preserve">longstanding empirical investigation of the controversial relationship</w:t>
      </w:r>
      <w:r>
        <w:t xml:space="preserve"> </w:t>
      </w:r>
      <w:r>
        <w:t xml:space="preserve">between training variation, and subsequent transfer. We also offer a</w:t>
      </w:r>
      <w:r>
        <w:t xml:space="preserve"> </w:t>
      </w:r>
      <w:r>
        <w:t xml:space="preserve">novel explanation for such results in the form of an instance-based</w:t>
      </w:r>
      <w:r>
        <w:t xml:space="preserve"> </w:t>
      </w:r>
      <w:r>
        <w:t xml:space="preserve">model that accounts for the benefits of variation in simple terms of</w:t>
      </w:r>
      <w:r>
        <w:t xml:space="preserve"> </w:t>
      </w:r>
      <w:r>
        <w:t xml:space="preserve">psychological similarity. We first review the relevant concepts and</w:t>
      </w:r>
      <w:r>
        <w:t xml:space="preserve"> </w:t>
      </w:r>
      <w:r>
        <w:t xml:space="preserve">literature.</w:t>
      </w:r>
    </w:p>
    <w:bookmarkStart w:id="36" w:name="X8a8d1875080f3503fed79ab4a2ac35ef7e56756"/>
    <w:p>
      <w:pPr>
        <w:pStyle w:val="Heading3"/>
      </w:pPr>
      <w:r>
        <w:t xml:space="preserve">Similarity and instance-based approaches to transfer of learning</w:t>
      </w:r>
    </w:p>
    <w:p>
      <w:pPr>
        <w:pStyle w:val="FirstParagraph"/>
      </w:pPr>
      <w:r>
        <w:t xml:space="preserve">Notions of similarity have long played a central role in many prominent</w:t>
      </w:r>
      <w:r>
        <w:t xml:space="preserve"> </w:t>
      </w:r>
      <w:r>
        <w:t xml:space="preserve">models of generalization of learning, as well as in the longstanding</w:t>
      </w:r>
      <w:r>
        <w:t xml:space="preserve"> </w:t>
      </w:r>
      <w:r>
        <w:t xml:space="preserve">theoretical issue of whether learners abstract an aggregate, summary</w:t>
      </w:r>
      <w:r>
        <w:t xml:space="preserve"> </w:t>
      </w:r>
      <w:r>
        <w:t xml:space="preserve">representation, or if they simply store individual instances. Early</w:t>
      </w:r>
      <w:r>
        <w:t xml:space="preserve"> </w:t>
      </w:r>
      <w:r>
        <w:t xml:space="preserve">models of learning often assumed that discrete experiences with some</w:t>
      </w:r>
      <w:r>
        <w:t xml:space="preserve"> </w:t>
      </w:r>
      <w:r>
        <w:t xml:space="preserve">task or category were not stored individually in memory, but instead</w:t>
      </w:r>
      <w:r>
        <w:t xml:space="preserve"> </w:t>
      </w:r>
      <w:r>
        <w:t xml:space="preserve">promoted the formation of a summary representation, often referred to as</w:t>
      </w:r>
      <w:r>
        <w:t xml:space="preserve"> </w:t>
      </w:r>
      <w:r>
        <w:t xml:space="preserve">a prototype or schema, and that exposure to novel examples would then</w:t>
      </w:r>
      <w:r>
        <w:t xml:space="preserve"> </w:t>
      </w:r>
      <w:r>
        <w:t xml:space="preserve">prompt the retrieval of whichever preexisting prototype was most similar</w:t>
      </w:r>
      <w:r>
        <w:t xml:space="preserve"> </w:t>
      </w:r>
      <w:r>
        <w:t xml:space="preserve">(</w:t>
      </w:r>
      <w:hyperlink w:anchor="ref-posnerGenesisAbstractIdeas1968">
        <w:r>
          <w:rPr>
            <w:rStyle w:val="Hyperlink"/>
          </w:rPr>
          <w:t xml:space="preserve">Posner &amp; Keele, 1968</w:t>
        </w:r>
      </w:hyperlink>
      <w:r>
        <w:t xml:space="preserve">)</w:t>
      </w:r>
      <w:r>
        <w:t xml:space="preserve">. Prototype</w:t>
      </w:r>
      <w:r>
        <w:t xml:space="preserve"> </w:t>
      </w:r>
      <w:r>
        <w:t xml:space="preserve">models were later challenged by the success of instance-based or</w:t>
      </w:r>
      <w:r>
        <w:t xml:space="preserve"> </w:t>
      </w:r>
      <w:r>
        <w:t xml:space="preserve">exemplar models – which were shown to provide an account of</w:t>
      </w:r>
      <w:r>
        <w:t xml:space="preserve"> </w:t>
      </w:r>
      <w:r>
        <w:t xml:space="preserve">generalization as good or better than prototype models, with the</w:t>
      </w:r>
      <w:r>
        <w:t xml:space="preserve"> </w:t>
      </w:r>
      <w:r>
        <w:t xml:space="preserve">advantage of not assuming the explicit construction of an internal</w:t>
      </w:r>
      <w:r>
        <w:t xml:space="preserve"> </w:t>
      </w:r>
      <w:r>
        <w:t xml:space="preserve">prototype</w:t>
      </w:r>
      <w:r>
        <w:t xml:space="preserve"> </w:t>
      </w:r>
      <w:r>
        <w:t xml:space="preserve">(</w:t>
      </w:r>
      <w:hyperlink w:anchor="ref-estesClassificationCognition1994">
        <w:r>
          <w:rPr>
            <w:rStyle w:val="Hyperlink"/>
          </w:rPr>
          <w:t xml:space="preserve">Estes, 1994</w:t>
        </w:r>
      </w:hyperlink>
      <w:r>
        <w:t xml:space="preserve">;</w:t>
      </w:r>
      <w:r>
        <w:t xml:space="preserve"> </w:t>
      </w:r>
      <w:hyperlink w:anchor="ref-hintzmanMINERVASimulationModel1984">
        <w:r>
          <w:rPr>
            <w:rStyle w:val="Hyperlink"/>
          </w:rPr>
          <w:t xml:space="preserve">Hintzman, 1984</w:t>
        </w:r>
      </w:hyperlink>
      <w:r>
        <w:t xml:space="preserve">;</w:t>
      </w:r>
      <w:r>
        <w:t xml:space="preserve"> </w:t>
      </w:r>
      <w:hyperlink w:anchor="ref-medinContextTheoryClassification1978">
        <w:r>
          <w:rPr>
            <w:rStyle w:val="Hyperlink"/>
          </w:rPr>
          <w:t xml:space="preserve">Medin &amp; Schaffer, 1978</w:t>
        </w:r>
      </w:hyperlink>
      <w:r>
        <w:t xml:space="preserve">;</w:t>
      </w:r>
      <w:r>
        <w:t xml:space="preserve"> </w:t>
      </w:r>
      <w:hyperlink w:anchor="X1e62d38316b1210cbf492429f3fa0f41029419a">
        <w:r>
          <w:rPr>
            <w:rStyle w:val="Hyperlink"/>
          </w:rPr>
          <w:t xml:space="preserve">Nosofsky, 1986</w:t>
        </w:r>
      </w:hyperlink>
      <w:r>
        <w:t xml:space="preserve"> </w:t>
      </w:r>
      <w:r>
        <w:t xml:space="preserve">)</w:t>
      </w:r>
      <w:r>
        <w:t xml:space="preserve">.</w:t>
      </w:r>
      <w:r>
        <w:t xml:space="preserve"> </w:t>
      </w:r>
      <w:r>
        <w:t xml:space="preserve">Instance-based models assume that learners encode each experience with a</w:t>
      </w:r>
      <w:r>
        <w:t xml:space="preserve"> </w:t>
      </w:r>
      <w:r>
        <w:t xml:space="preserve">task as a separate instance/exemplar/trace, and that each encoded trace</w:t>
      </w:r>
      <w:r>
        <w:t xml:space="preserve"> </w:t>
      </w:r>
      <w:r>
        <w:t xml:space="preserve">is in turn compared against novel stimuli. As the number of stored</w:t>
      </w:r>
      <w:r>
        <w:t xml:space="preserve"> </w:t>
      </w:r>
      <w:r>
        <w:t xml:space="preserve">instances increases, so does the likelihood that some previously stored</w:t>
      </w:r>
      <w:r>
        <w:t xml:space="preserve"> </w:t>
      </w:r>
      <w:r>
        <w:t xml:space="preserve">instance will be retrieved to aid in the performance of a novel task.</w:t>
      </w:r>
      <w:r>
        <w:t xml:space="preserve"> </w:t>
      </w:r>
      <w:r>
        <w:t xml:space="preserve">Stored instances are retrieved in the context of novel stimuli or tasks</w:t>
      </w:r>
      <w:r>
        <w:t xml:space="preserve"> </w:t>
      </w:r>
      <w:r>
        <w:t xml:space="preserve">if they are sufficiently similar, thus suggesting that the process of</w:t>
      </w:r>
      <w:r>
        <w:t xml:space="preserve"> </w:t>
      </w:r>
      <w:r>
        <w:t xml:space="preserve">computing similarity is of central importance to generalization.</w:t>
      </w:r>
    </w:p>
    <w:p>
      <w:pPr>
        <w:pStyle w:val="BodyText"/>
      </w:pPr>
      <w:r>
        <w:t xml:space="preserve">Similarity, defined in this literature as a function of psychological</w:t>
      </w:r>
      <w:r>
        <w:t xml:space="preserve"> </w:t>
      </w:r>
      <w:r>
        <w:t xml:space="preserve">distance between instances or categories, has provided a successful</w:t>
      </w:r>
      <w:r>
        <w:t xml:space="preserve"> </w:t>
      </w:r>
      <w:r>
        <w:t xml:space="preserve">account of generalization across numerous tasks and domains. In an</w:t>
      </w:r>
      <w:r>
        <w:t xml:space="preserve"> </w:t>
      </w:r>
      <w:r>
        <w:t xml:space="preserve">influential study demonstrating an ordinal similarity effect,</w:t>
      </w:r>
      <w:r>
        <w:t xml:space="preserve"> </w:t>
      </w:r>
      <w:r>
        <w:t xml:space="preserve">experimenters employed a numerosity judgment task in which participants</w:t>
      </w:r>
      <w:r>
        <w:t xml:space="preserve"> </w:t>
      </w:r>
      <w:r>
        <w:t xml:space="preserve">quickly report the number of dots flashed on a screen. Performance (in</w:t>
      </w:r>
      <w:r>
        <w:t xml:space="preserve"> </w:t>
      </w:r>
      <w:r>
        <w:t xml:space="preserve">terms of response times to new patterns) on novel dot configurations</w:t>
      </w:r>
      <w:r>
        <w:t xml:space="preserve"> </w:t>
      </w:r>
      <w:r>
        <w:t xml:space="preserve">varied as an inverse function of their similarity to previously trained</w:t>
      </w:r>
      <w:r>
        <w:t xml:space="preserve"> </w:t>
      </w:r>
      <w:r>
        <w:t xml:space="preserve">dot configurations</w:t>
      </w:r>
      <w:r>
        <w:t xml:space="preserve"> </w:t>
      </w:r>
      <w:r>
        <w:t xml:space="preserve">Palmeri (</w:t>
      </w:r>
      <w:hyperlink w:anchor="X94e3525b453aa845c6a29ac4dab4c88ebf8fedd">
        <w:r>
          <w:rPr>
            <w:rStyle w:val="Hyperlink"/>
          </w:rPr>
          <w:t xml:space="preserve">1997</w:t>
        </w:r>
      </w:hyperlink>
      <w:r>
        <w:t xml:space="preserve">)</w:t>
      </w:r>
      <w:r>
        <w:t xml:space="preserve">. That is, performance was better on</w:t>
      </w:r>
      <w:r>
        <w:t xml:space="preserve"> </w:t>
      </w:r>
      <w:r>
        <w:t xml:space="preserve">novel configurations moderately similar to trained configurations than</w:t>
      </w:r>
      <w:r>
        <w:t xml:space="preserve"> </w:t>
      </w:r>
      <w:r>
        <w:t xml:space="preserve">to configurations with low-similarity, and also better on low-similarity</w:t>
      </w:r>
      <w:r>
        <w:t xml:space="preserve"> </w:t>
      </w:r>
      <w:r>
        <w:t xml:space="preserve">configurations than to even less similar, unrelated configurations.</w:t>
      </w:r>
      <w:r>
        <w:t xml:space="preserve"> </w:t>
      </w:r>
      <w:r>
        <w:t xml:space="preserve">Instance-based approaches have had some success accounting for</w:t>
      </w:r>
      <w:r>
        <w:t xml:space="preserve"> </w:t>
      </w:r>
      <w:r>
        <w:t xml:space="preserve">performance in certain sub-domains of motor learning</w:t>
      </w:r>
      <w:r>
        <w:t xml:space="preserve"> </w:t>
      </w:r>
      <w:r>
        <w:t xml:space="preserve">(</w:t>
      </w:r>
      <w:hyperlink w:anchor="ref-cohenWhereGraspsAre2004">
        <w:r>
          <w:rPr>
            <w:rStyle w:val="Hyperlink"/>
          </w:rPr>
          <w:t xml:space="preserve">R. G. Cohen &amp; Rosenbaum, 2004</w:t>
        </w:r>
      </w:hyperlink>
      <w:r>
        <w:t xml:space="preserve">;</w:t>
      </w:r>
      <w:r>
        <w:t xml:space="preserve"> </w:t>
      </w:r>
      <w:hyperlink w:anchor="Xc238d332495d5cd1e8e6854b9a008d57c3788f8">
        <w:r>
          <w:rPr>
            <w:rStyle w:val="Hyperlink"/>
          </w:rPr>
          <w:t xml:space="preserve">Crump &amp; Logan, 2010</w:t>
        </w:r>
      </w:hyperlink>
      <w:r>
        <w:t xml:space="preserve">,</w:t>
      </w:r>
      <w:r>
        <w:t xml:space="preserve"> </w:t>
      </w:r>
      <w:hyperlink w:anchor="Xc238d332495d5cd1e8e6854b9a008d57c3788f8">
        <w:r>
          <w:rPr>
            <w:rStyle w:val="Hyperlink"/>
          </w:rPr>
          <w:t xml:space="preserve">2010</w:t>
        </w:r>
      </w:hyperlink>
      <w:r>
        <w:t xml:space="preserve">;</w:t>
      </w:r>
      <w:r>
        <w:t xml:space="preserve"> </w:t>
      </w:r>
      <w:hyperlink w:anchor="ref-meighWhatMemoryRepresentation2018">
        <w:r>
          <w:rPr>
            <w:rStyle w:val="Hyperlink"/>
          </w:rPr>
          <w:t xml:space="preserve">Meigh et al., 2018</w:t>
        </w:r>
      </w:hyperlink>
      <w:r>
        <w:t xml:space="preserve">;</w:t>
      </w:r>
      <w:r>
        <w:t xml:space="preserve"> </w:t>
      </w:r>
      <w:hyperlink w:anchor="Xc21ba1d8d46c5fa98e6000a97319b35df4d1ba9">
        <w:r>
          <w:rPr>
            <w:rStyle w:val="Hyperlink"/>
          </w:rPr>
          <w:t xml:space="preserve">Poldrack et al., 1999</w:t>
        </w:r>
      </w:hyperlink>
      <w:r>
        <w:t xml:space="preserve">;</w:t>
      </w:r>
      <w:r>
        <w:t xml:space="preserve"> </w:t>
      </w:r>
      <w:hyperlink w:anchor="ref-wifallReachingResponseSelection2017">
        <w:r>
          <w:rPr>
            <w:rStyle w:val="Hyperlink"/>
          </w:rPr>
          <w:t xml:space="preserve">Wifall et al., 2017</w:t>
        </w:r>
      </w:hyperlink>
      <w:r>
        <w:t xml:space="preserve">)</w:t>
      </w:r>
      <w:r>
        <w:t xml:space="preserve"> </w:t>
      </w:r>
      <w:r>
        <w:t xml:space="preserve">trained participants to type words on an unfamiliar keyboard, while constraining the letters composing the training words to a pre-specified letter set. Following</w:t>
      </w:r>
      <w:r>
        <w:t xml:space="preserve"> </w:t>
      </w:r>
      <w:r>
        <w:t xml:space="preserve">training, typing speed was tested on previously experienced words</w:t>
      </w:r>
      <w:r>
        <w:t xml:space="preserve"> </w:t>
      </w:r>
      <w:r>
        <w:t xml:space="preserve">composed of previously experienced letters; novel words composed of</w:t>
      </w:r>
      <w:r>
        <w:t xml:space="preserve"> </w:t>
      </w:r>
      <w:r>
        <w:t xml:space="preserve">letters from the trained letter set; and novel words composed of letters</w:t>
      </w:r>
      <w:r>
        <w:t xml:space="preserve"> </w:t>
      </w:r>
      <w:r>
        <w:t xml:space="preserve">from an untrained letter set. Consistent with an instance-based account,</w:t>
      </w:r>
      <w:r>
        <w:t xml:space="preserve"> </w:t>
      </w:r>
      <w:r>
        <w:t xml:space="preserve">transfer performance was graded such that participants were fastest at</w:t>
      </w:r>
      <w:r>
        <w:t xml:space="preserve"> </w:t>
      </w:r>
      <w:r>
        <w:t xml:space="preserve">typing the words they had previously trained on, followed by novel words</w:t>
      </w:r>
      <w:r>
        <w:t xml:space="preserve"> </w:t>
      </w:r>
      <w:r>
        <w:t xml:space="preserve">composed of letters they had trained on, and slowest performance for new</w:t>
      </w:r>
      <w:r>
        <w:t xml:space="preserve"> </w:t>
      </w:r>
      <w:r>
        <w:t xml:space="preserve">words composed of untrained letters.</w:t>
      </w:r>
    </w:p>
    <w:bookmarkEnd w:id="36"/>
    <w:bookmarkEnd w:id="37"/>
    <w:bookmarkStart w:id="40" w:name="Xc365049bc921af0a7948ef661216442c791d72f"/>
    <w:p>
      <w:pPr>
        <w:pStyle w:val="Heading2"/>
      </w:pPr>
      <w:r>
        <w:t xml:space="preserve">The effect of training variability on transfer</w:t>
      </w:r>
    </w:p>
    <w:p>
      <w:pPr>
        <w:pStyle w:val="FirstParagraph"/>
      </w:pPr>
      <w:r>
        <w:t xml:space="preserve">While similarity-based models account for transfer by the degree of</w:t>
      </w:r>
      <w:r>
        <w:t xml:space="preserve"> </w:t>
      </w:r>
      <w:r>
        <w:t xml:space="preserve">similarity between previous and new experiences, a largely separate body</w:t>
      </w:r>
      <w:r>
        <w:t xml:space="preserve"> </w:t>
      </w:r>
      <w:r>
        <w:t xml:space="preserve">of research has focused on improving transfer by manipulating</w:t>
      </w:r>
      <w:r>
        <w:t xml:space="preserve"> </w:t>
      </w:r>
      <w:r>
        <w:t xml:space="preserve">characteristics of the initial training stage. Such characteristics have</w:t>
      </w:r>
      <w:r>
        <w:t xml:space="preserve"> </w:t>
      </w:r>
      <w:r>
        <w:t xml:space="preserve">included training difficulty, spacing, temporal order, feedback</w:t>
      </w:r>
      <w:r>
        <w:t xml:space="preserve"> </w:t>
      </w:r>
      <w:r>
        <w:t xml:space="preserve">schedules, and the primary focus of the current work – variability of</w:t>
      </w:r>
      <w:r>
        <w:t xml:space="preserve"> </w:t>
      </w:r>
      <w:r>
        <w:t xml:space="preserve">training examples.</w:t>
      </w:r>
    </w:p>
    <w:p>
      <w:pPr>
        <w:pStyle w:val="BodyText"/>
      </w:pPr>
      <w:r>
        <w:t xml:space="preserve">Research on the effects of varied training typically compares</w:t>
      </w:r>
      <w:r>
        <w:t xml:space="preserve"> </w:t>
      </w:r>
      <w:r>
        <w:t xml:space="preserve">participants trained under constant, or minimal variability conditions</w:t>
      </w:r>
      <w:r>
        <w:t xml:space="preserve"> </w:t>
      </w:r>
      <w:r>
        <w:t xml:space="preserve">to those trained from a variety of examples or conditions</w:t>
      </w:r>
      <w:r>
        <w:t xml:space="preserve"> </w:t>
      </w:r>
      <w:r>
        <w:t xml:space="preserve">(</w:t>
      </w:r>
      <w:hyperlink w:anchor="X8cd316671c2239200e1a5afe6d9559d59ba5123">
        <w:r>
          <w:rPr>
            <w:rStyle w:val="Hyperlink"/>
          </w:rPr>
          <w:t xml:space="preserve">Czyż, 2021</w:t>
        </w:r>
      </w:hyperlink>
      <w:r>
        <w:t xml:space="preserve">;</w:t>
      </w:r>
      <w:r>
        <w:t xml:space="preserve"> </w:t>
      </w:r>
      <w:hyperlink w:anchor="X0acc7fc1613de11f1df556c6841b86f5c4c9943">
        <w:r>
          <w:rPr>
            <w:rStyle w:val="Hyperlink"/>
          </w:rPr>
          <w:t xml:space="preserve">Soderstrom &amp; Bjork, 2015</w:t>
        </w:r>
      </w:hyperlink>
      <w:r>
        <w:t xml:space="preserve">)</w:t>
      </w:r>
      <w:r>
        <w:t xml:space="preserve">. Varied training has been shown to influence</w:t>
      </w:r>
      <w:r>
        <w:t xml:space="preserve"> </w:t>
      </w:r>
      <w:r>
        <w:t xml:space="preserve">learning in myriad domains including categorization of simple stimuli</w:t>
      </w:r>
      <w:r>
        <w:t xml:space="preserve"> </w:t>
      </w:r>
      <w:r>
        <w:t xml:space="preserve">(</w:t>
      </w:r>
      <w:hyperlink w:anchor="ref-hahnEffectsCategoryDiversity2005">
        <w:r>
          <w:rPr>
            <w:rStyle w:val="Hyperlink"/>
          </w:rPr>
          <w:t xml:space="preserve">Hahn et al., 2005</w:t>
        </w:r>
      </w:hyperlink>
      <w:r>
        <w:t xml:space="preserve">;</w:t>
      </w:r>
      <w:r>
        <w:t xml:space="preserve"> </w:t>
      </w:r>
      <w:hyperlink w:anchor="ref-maddoxStimulusRangeDiscontinuity2011">
        <w:r>
          <w:rPr>
            <w:rStyle w:val="Hyperlink"/>
          </w:rPr>
          <w:t xml:space="preserve">Maddox &amp; Filoteo, 2011</w:t>
        </w:r>
      </w:hyperlink>
      <w:r>
        <w:t xml:space="preserve">;</w:t>
      </w:r>
      <w:r>
        <w:t xml:space="preserve"> </w:t>
      </w:r>
      <w:hyperlink w:anchor="ref-posnerGenesisAbstractIdeas1968">
        <w:r>
          <w:rPr>
            <w:rStyle w:val="Hyperlink"/>
          </w:rPr>
          <w:t xml:space="preserve">Posner &amp; Keele, 1968</w:t>
        </w:r>
      </w:hyperlink>
      <w:r>
        <w:t xml:space="preserve">)</w:t>
      </w:r>
      <w:r>
        <w:t xml:space="preserve">,</w:t>
      </w:r>
      <w:r>
        <w:t xml:space="preserve"> </w:t>
      </w:r>
      <w:r>
        <w:t xml:space="preserve">complex categorization</w:t>
      </w:r>
      <w:r>
        <w:t xml:space="preserve"> </w:t>
      </w:r>
      <w:r>
        <w:t xml:space="preserve">(</w:t>
      </w:r>
      <w:hyperlink w:anchor="ref-nosofskyModelguidedSearchOptimal2018">
        <w:r>
          <w:rPr>
            <w:rStyle w:val="Hyperlink"/>
          </w:rPr>
          <w:t xml:space="preserve">Nosofsky, Sanders, Zhu, et al., 2018</w:t>
        </w:r>
      </w:hyperlink>
      <w:r>
        <w:t xml:space="preserve">)</w:t>
      </w:r>
      <w:r>
        <w:t xml:space="preserve">, language learning</w:t>
      </w:r>
      <w:r>
        <w:t xml:space="preserve"> </w:t>
      </w:r>
      <w:r>
        <w:t xml:space="preserve">(</w:t>
      </w:r>
      <w:hyperlink w:anchor="ref-jonesDensityDistinctivenessEarly2020">
        <w:r>
          <w:rPr>
            <w:rStyle w:val="Hyperlink"/>
          </w:rPr>
          <w:t xml:space="preserve">Jones &amp; Brandt, 2020</w:t>
        </w:r>
      </w:hyperlink>
      <w:r>
        <w:t xml:space="preserve">;</w:t>
      </w:r>
      <w:r>
        <w:t xml:space="preserve"> </w:t>
      </w:r>
      <w:hyperlink w:anchor="ref-perryLearnLocallyThink2010">
        <w:r>
          <w:rPr>
            <w:rStyle w:val="Hyperlink"/>
          </w:rPr>
          <w:t xml:space="preserve">Perry et al., 2010</w:t>
        </w:r>
      </w:hyperlink>
      <w:r>
        <w:t xml:space="preserve">;</w:t>
      </w:r>
      <w:r>
        <w:t xml:space="preserve"> </w:t>
      </w:r>
      <w:hyperlink w:anchor="ref-twomeyAllRightNoises2018">
        <w:r>
          <w:rPr>
            <w:rStyle w:val="Hyperlink"/>
          </w:rPr>
          <w:t xml:space="preserve">Twomey et al., 2018</w:t>
        </w:r>
      </w:hyperlink>
      <w:r>
        <w:t xml:space="preserve">;</w:t>
      </w:r>
      <w:r>
        <w:t xml:space="preserve"> </w:t>
      </w:r>
      <w:hyperlink w:anchor="ref-wonnacottInputEffectsAcquisition2012">
        <w:r>
          <w:rPr>
            <w:rStyle w:val="Hyperlink"/>
          </w:rPr>
          <w:t xml:space="preserve">Wonnacott et al., 2012</w:t>
        </w:r>
      </w:hyperlink>
      <w:r>
        <w:t xml:space="preserve">)</w:t>
      </w:r>
      <w:r>
        <w:t xml:space="preserve">, anagram completion</w:t>
      </w:r>
      <w:r>
        <w:t xml:space="preserve"> </w:t>
      </w:r>
      <w:r>
        <w:t xml:space="preserve">(</w:t>
      </w:r>
      <w:hyperlink w:anchor="ref-goodeSuperiorityVariableRepeated2008">
        <w:r>
          <w:rPr>
            <w:rStyle w:val="Hyperlink"/>
          </w:rPr>
          <w:t xml:space="preserve">Goode et al., 2008</w:t>
        </w:r>
      </w:hyperlink>
      <w:r>
        <w:t xml:space="preserve">)</w:t>
      </w:r>
      <w:r>
        <w:t xml:space="preserve">, trajectory</w:t>
      </w:r>
      <w:r>
        <w:t xml:space="preserve"> </w:t>
      </w:r>
      <w:r>
        <w:t xml:space="preserve">extrapolation</w:t>
      </w:r>
      <w:r>
        <w:t xml:space="preserve"> </w:t>
      </w:r>
      <w:r>
        <w:t xml:space="preserve">(</w:t>
      </w:r>
      <w:hyperlink w:anchor="Xefb23fa0970bb425394daa396b6a6c9d15f023f">
        <w:r>
          <w:rPr>
            <w:rStyle w:val="Hyperlink"/>
          </w:rPr>
          <w:t xml:space="preserve">Fulvio et al., 2014</w:t>
        </w:r>
      </w:hyperlink>
      <w:r>
        <w:t xml:space="preserve">)</w:t>
      </w:r>
      <w:r>
        <w:t xml:space="preserve">, task switching</w:t>
      </w:r>
      <w:r>
        <w:t xml:space="preserve"> </w:t>
      </w:r>
      <w:r>
        <w:t xml:space="preserve">(</w:t>
      </w:r>
      <w:hyperlink w:anchor="ref-sabahWhenLessMore2019">
        <w:r>
          <w:rPr>
            <w:rStyle w:val="Hyperlink"/>
          </w:rPr>
          <w:t xml:space="preserve">Sabah et al., 2019</w:t>
        </w:r>
      </w:hyperlink>
      <w:r>
        <w:t xml:space="preserve">)</w:t>
      </w:r>
      <w:r>
        <w:t xml:space="preserve">, associative learning</w:t>
      </w:r>
      <w:r>
        <w:t xml:space="preserve"> </w:t>
      </w:r>
      <w:r>
        <w:t xml:space="preserve">(</w:t>
      </w:r>
      <w:hyperlink w:anchor="ref-leeEvidentialDiversityIncreases2019">
        <w:r>
          <w:rPr>
            <w:rStyle w:val="Hyperlink"/>
          </w:rPr>
          <w:t xml:space="preserve">J. C. Lee et al., 2019</w:t>
        </w:r>
      </w:hyperlink>
      <w:r>
        <w:t xml:space="preserve">)</w:t>
      </w:r>
      <w:r>
        <w:t xml:space="preserve">, visual search</w:t>
      </w:r>
      <w:r>
        <w:t xml:space="preserve"> </w:t>
      </w:r>
      <w:r>
        <w:t xml:space="preserve">(</w:t>
      </w:r>
      <w:hyperlink w:anchor="ref-georgeStimulusVariabilityTask2021">
        <w:r>
          <w:rPr>
            <w:rStyle w:val="Hyperlink"/>
          </w:rPr>
          <w:t xml:space="preserve">George &amp; Egner, 2021</w:t>
        </w:r>
      </w:hyperlink>
      <w:r>
        <w:t xml:space="preserve">;</w:t>
      </w:r>
      <w:r>
        <w:t xml:space="preserve"> </w:t>
      </w:r>
      <w:hyperlink w:anchor="X5627e468e18b65dca3bb25ebf3a3d97db0e9cdc">
        <w:r>
          <w:rPr>
            <w:rStyle w:val="Hyperlink"/>
          </w:rPr>
          <w:t xml:space="preserve">Gonzalez &amp; Madhavan, 2011</w:t>
        </w:r>
      </w:hyperlink>
      <w:r>
        <w:t xml:space="preserve">;</w:t>
      </w:r>
      <w:r>
        <w:t xml:space="preserve"> </w:t>
      </w:r>
      <w:hyperlink w:anchor="ref-kelleyLearningAttendEffects2009">
        <w:r>
          <w:rPr>
            <w:rStyle w:val="Hyperlink"/>
          </w:rPr>
          <w:t xml:space="preserve">Kelley &amp; Yantis, 2009</w:t>
        </w:r>
      </w:hyperlink>
      <w:r>
        <w:t xml:space="preserve">)</w:t>
      </w:r>
      <w:r>
        <w:t xml:space="preserve">, voice</w:t>
      </w:r>
      <w:r>
        <w:t xml:space="preserve"> </w:t>
      </w:r>
      <w:r>
        <w:t xml:space="preserve">identity learning</w:t>
      </w:r>
      <w:r>
        <w:t xml:space="preserve"> </w:t>
      </w:r>
      <w:r>
        <w:t xml:space="preserve">(</w:t>
      </w:r>
      <w:hyperlink w:anchor="ref-lavanEffectsHighVariability2019">
        <w:r>
          <w:rPr>
            <w:rStyle w:val="Hyperlink"/>
          </w:rPr>
          <w:t xml:space="preserve">Lavan et al., 2019</w:t>
        </w:r>
      </w:hyperlink>
      <w:r>
        <w:t xml:space="preserve">)</w:t>
      </w:r>
      <w:r>
        <w:t xml:space="preserve">, simple motor learning</w:t>
      </w:r>
      <w:r>
        <w:t xml:space="preserve"> </w:t>
      </w:r>
      <w:r>
        <w:t xml:space="preserve">(</w:t>
      </w:r>
      <w:hyperlink w:anchor="ref-braunMotorTaskVariation2009">
        <w:r>
          <w:rPr>
            <w:rStyle w:val="Hyperlink"/>
          </w:rPr>
          <w:t xml:space="preserve">Braun et al., 2009</w:t>
        </w:r>
      </w:hyperlink>
      <w:r>
        <w:t xml:space="preserve">;</w:t>
      </w:r>
      <w:r>
        <w:t xml:space="preserve"> </w:t>
      </w:r>
      <w:hyperlink w:anchor="ref-kerrSpecificVariedPractice1978">
        <w:r>
          <w:rPr>
            <w:rStyle w:val="Hyperlink"/>
          </w:rPr>
          <w:t xml:space="preserve">Kerr &amp; Booth, 1978</w:t>
        </w:r>
      </w:hyperlink>
      <w:r>
        <w:t xml:space="preserve">;</w:t>
      </w:r>
      <w:r>
        <w:t xml:space="preserve"> </w:t>
      </w:r>
      <w:hyperlink w:anchor="ref-rollerVariablePracticeLenses2001">
        <w:r>
          <w:rPr>
            <w:rStyle w:val="Hyperlink"/>
          </w:rPr>
          <w:t xml:space="preserve">Roller et al., 2001</w:t>
        </w:r>
      </w:hyperlink>
      <w:r>
        <w:t xml:space="preserve">;</w:t>
      </w:r>
      <w:r>
        <w:t xml:space="preserve"> </w:t>
      </w:r>
      <w:hyperlink w:anchor="Xedde1589a4463afc15faa24be41c02163e3402a">
        <w:r>
          <w:rPr>
            <w:rStyle w:val="Hyperlink"/>
          </w:rPr>
          <w:t xml:space="preserve">Willey &amp; Liu, 2018a</w:t>
        </w:r>
      </w:hyperlink>
      <w:r>
        <w:t xml:space="preserve">)</w:t>
      </w:r>
      <w:r>
        <w:t xml:space="preserve">,</w:t>
      </w:r>
      <w:r>
        <w:t xml:space="preserve"> </w:t>
      </w:r>
      <w:r>
        <w:t xml:space="preserve">sports training</w:t>
      </w:r>
      <w:r>
        <w:t xml:space="preserve"> </w:t>
      </w:r>
      <w:r>
        <w:t xml:space="preserve">North et al. (</w:t>
      </w:r>
      <w:hyperlink w:anchor="ref-northEffectConsistentVaried2019">
        <w:r>
          <w:rPr>
            <w:rStyle w:val="Hyperlink"/>
          </w:rPr>
          <w:t xml:space="preserve">2019</w:t>
        </w:r>
      </w:hyperlink>
      <w:r>
        <w:t xml:space="preserve">)</w:t>
      </w:r>
      <w:r>
        <w:t xml:space="preserve">, and training</w:t>
      </w:r>
      <w:r>
        <w:t xml:space="preserve"> </w:t>
      </w:r>
      <w:r>
        <w:t xml:space="preserve">on a complex video game</w:t>
      </w:r>
      <w:r>
        <w:t xml:space="preserve"> </w:t>
      </w:r>
      <w:r>
        <w:t xml:space="preserve">(</w:t>
      </w:r>
      <w:hyperlink w:anchor="ref-seowTransferEffectsVaried2019">
        <w:r>
          <w:rPr>
            <w:rStyle w:val="Hyperlink"/>
          </w:rPr>
          <w:t xml:space="preserve">Seow et al., 2019</w:t>
        </w:r>
      </w:hyperlink>
      <w:r>
        <w:t xml:space="preserve">)</w:t>
      </w:r>
      <w:r>
        <w:t xml:space="preserve">.</w:t>
      </w:r>
    </w:p>
    <w:p>
      <w:pPr>
        <w:pStyle w:val="BodyText"/>
      </w:pPr>
      <w:r>
        <w:t xml:space="preserve">Training variation has received a particularly large amount of attention</w:t>
      </w:r>
      <w:r>
        <w:t xml:space="preserve"> </w:t>
      </w:r>
      <w:r>
        <w:t xml:space="preserve">within the domain of visuomotor skill learning. Much of this research</w:t>
      </w:r>
      <w:r>
        <w:t xml:space="preserve"> </w:t>
      </w:r>
      <w:r>
        <w:t xml:space="preserve">has been influenced by the work of</w:t>
      </w:r>
      <w:r>
        <w:t xml:space="preserve"> </w:t>
      </w:r>
      <w:r>
        <w:t xml:space="preserve">Schmidt (</w:t>
      </w:r>
      <w:hyperlink w:anchor="ref-schmidtSchemaTheoryDiscrete1975">
        <w:r>
          <w:rPr>
            <w:rStyle w:val="Hyperlink"/>
          </w:rPr>
          <w:t xml:space="preserve">1975</w:t>
        </w:r>
      </w:hyperlink>
      <w:r>
        <w:t xml:space="preserve">)</w:t>
      </w:r>
      <w:r>
        <w:t xml:space="preserve">, who proposed a</w:t>
      </w:r>
      <w:r>
        <w:t xml:space="preserve"> </w:t>
      </w:r>
      <w:r>
        <w:t xml:space="preserve">schema-based account of motor learning as an attempt to address the</w:t>
      </w:r>
      <w:r>
        <w:t xml:space="preserve"> </w:t>
      </w:r>
      <w:r>
        <w:t xml:space="preserve">longstanding problem of how novel movements are produced. According to</w:t>
      </w:r>
      <w:r>
        <w:t xml:space="preserve"> </w:t>
      </w:r>
      <w:r>
        <w:t xml:space="preserve">Schema Theory, learners possess general motor programs for classes of</w:t>
      </w:r>
      <w:r>
        <w:t xml:space="preserve"> </w:t>
      </w:r>
      <w:r>
        <w:t xml:space="preserve">movements (e.g. throwing a ball with an underhand movement), as well as</w:t>
      </w:r>
      <w:r>
        <w:t xml:space="preserve"> </w:t>
      </w:r>
      <w:r>
        <w:t xml:space="preserve">schema rules that determine how a motor program is parameterized or</w:t>
      </w:r>
      <w:r>
        <w:t xml:space="preserve"> </w:t>
      </w:r>
      <w:r>
        <w:t xml:space="preserve">scaled for a particular movement. Schema theory predicts that varied</w:t>
      </w:r>
      <w:r>
        <w:t xml:space="preserve"> </w:t>
      </w:r>
      <w:r>
        <w:t xml:space="preserve">training results in the formation of a more general schema-rule, which</w:t>
      </w:r>
      <w:r>
        <w:t xml:space="preserve"> </w:t>
      </w:r>
      <w:r>
        <w:t xml:space="preserve">can allow for transfer to novel movements within a given movement class.</w:t>
      </w:r>
      <w:r>
        <w:t xml:space="preserve"> </w:t>
      </w:r>
      <w:r>
        <w:t xml:space="preserve">Experiments that test this hypothesis are often designed to compare the</w:t>
      </w:r>
      <w:r>
        <w:t xml:space="preserve"> </w:t>
      </w:r>
      <w:r>
        <w:t xml:space="preserve">transfer performance of a constant-trained group against that of a</w:t>
      </w:r>
      <w:r>
        <w:t xml:space="preserve"> </w:t>
      </w:r>
      <w:r>
        <w:t xml:space="preserve">varied-trained group. Both groups train on the same task, but the varied</w:t>
      </w:r>
      <w:r>
        <w:t xml:space="preserve"> </w:t>
      </w:r>
      <w:r>
        <w:t xml:space="preserve">group practices from multiple levels of a task-relevant dimension that</w:t>
      </w:r>
      <w:r>
        <w:t xml:space="preserve"> </w:t>
      </w:r>
      <w:r>
        <w:t xml:space="preserve">remains invariant for the constant group. For example, investigators</w:t>
      </w:r>
      <w:r>
        <w:t xml:space="preserve"> </w:t>
      </w:r>
      <w:r>
        <w:t xml:space="preserve">might train two groups of participants to throw a projectile at a</w:t>
      </w:r>
      <w:r>
        <w:t xml:space="preserve"> </w:t>
      </w:r>
      <w:r>
        <w:t xml:space="preserve">target, with a constant group that throws from a single location, and a</w:t>
      </w:r>
      <w:r>
        <w:t xml:space="preserve"> </w:t>
      </w:r>
      <w:r>
        <w:t xml:space="preserve">varied group that throws from multiple locations. Both groups are then</w:t>
      </w:r>
      <w:r>
        <w:t xml:space="preserve"> </w:t>
      </w:r>
      <w:r>
        <w:t xml:space="preserve">tested from novel locations. Empirically observed benefits of the</w:t>
      </w:r>
      <w:r>
        <w:t xml:space="preserve"> </w:t>
      </w:r>
      <w:r>
        <w:t xml:space="preserve">varied-trained group are then attributed to the variation they received</w:t>
      </w:r>
      <w:r>
        <w:t xml:space="preserve"> </w:t>
      </w:r>
      <w:r>
        <w:t xml:space="preserve">during training, a finding observed in numerous studies</w:t>
      </w:r>
      <w:r>
        <w:t xml:space="preserve"> </w:t>
      </w:r>
      <w:r>
        <w:t xml:space="preserve">(</w:t>
      </w:r>
      <w:hyperlink w:anchor="Xb08d1d2c70db9470b6217bc6c358d6ea58e7916">
        <w:r>
          <w:rPr>
            <w:rStyle w:val="Hyperlink"/>
          </w:rPr>
          <w:t xml:space="preserve">Catalano &amp; Kleiner, 1984</w:t>
        </w:r>
      </w:hyperlink>
      <w:r>
        <w:t xml:space="preserve">;</w:t>
      </w:r>
      <w:r>
        <w:t xml:space="preserve"> </w:t>
      </w:r>
      <w:hyperlink w:anchor="ref-chuaPracticeVariabilityPromotes2019">
        <w:r>
          <w:rPr>
            <w:rStyle w:val="Hyperlink"/>
          </w:rPr>
          <w:t xml:space="preserve">Chua et al., 2019</w:t>
        </w:r>
      </w:hyperlink>
      <w:r>
        <w:t xml:space="preserve">;</w:t>
      </w:r>
      <w:r>
        <w:t xml:space="preserve"> </w:t>
      </w:r>
      <w:hyperlink w:anchor="ref-goodwinEffectDifferentQuantities1998">
        <w:r>
          <w:rPr>
            <w:rStyle w:val="Hyperlink"/>
          </w:rPr>
          <w:t xml:space="preserve">Goodwin et al., 1998</w:t>
        </w:r>
      </w:hyperlink>
      <w:r>
        <w:t xml:space="preserve">;</w:t>
      </w:r>
      <w:r>
        <w:t xml:space="preserve"> </w:t>
      </w:r>
      <w:hyperlink w:anchor="ref-kerrSpecificVariedPractice1978">
        <w:r>
          <w:rPr>
            <w:rStyle w:val="Hyperlink"/>
          </w:rPr>
          <w:t xml:space="preserve">Kerr &amp; Booth, 1978</w:t>
        </w:r>
      </w:hyperlink>
      <w:r>
        <w:t xml:space="preserve">;</w:t>
      </w:r>
      <w:r>
        <w:t xml:space="preserve"> </w:t>
      </w:r>
      <w:hyperlink w:anchor="ref-wulfEffectTypePractice1991">
        <w:r>
          <w:rPr>
            <w:rStyle w:val="Hyperlink"/>
          </w:rPr>
          <w:t xml:space="preserve">Wulf, 1991</w:t>
        </w:r>
      </w:hyperlink>
      <w:r>
        <w:t xml:space="preserve">)</w:t>
      </w:r>
      <w:r>
        <w:t xml:space="preserve">, and the benefits of this variation are typically</w:t>
      </w:r>
      <w:r>
        <w:t xml:space="preserve"> </w:t>
      </w:r>
      <w:r>
        <w:t xml:space="preserve">thought to be mediated by the development of a more general schema for</w:t>
      </w:r>
      <w:r>
        <w:t xml:space="preserve"> </w:t>
      </w:r>
      <w:r>
        <w:t xml:space="preserve">the throwing motion.</w:t>
      </w:r>
    </w:p>
    <w:p>
      <w:pPr>
        <w:pStyle w:val="BodyText"/>
      </w:pPr>
      <w:r>
        <w:t xml:space="preserve">Of course, the relationship between training variability and transfer is</w:t>
      </w:r>
      <w:r>
        <w:t xml:space="preserve"> </w:t>
      </w:r>
      <w:r>
        <w:t xml:space="preserve">unlikely to be a simple function wherein increased variation is always</w:t>
      </w:r>
      <w:r>
        <w:t xml:space="preserve"> </w:t>
      </w:r>
      <w:r>
        <w:t xml:space="preserve">beneficial. Numerous studies have found null, or in some cases negative</w:t>
      </w:r>
      <w:r>
        <w:t xml:space="preserve"> </w:t>
      </w:r>
      <w:r>
        <w:t xml:space="preserve">effects of training variation</w:t>
      </w:r>
      <w:r>
        <w:t xml:space="preserve"> </w:t>
      </w:r>
      <w:r>
        <w:t xml:space="preserve">(</w:t>
      </w:r>
      <w:hyperlink w:anchor="ref-deloshExtrapolationSineQua1997">
        <w:r>
          <w:rPr>
            <w:rStyle w:val="Hyperlink"/>
          </w:rPr>
          <w:t xml:space="preserve">DeLosh et al., 1997</w:t>
        </w:r>
      </w:hyperlink>
      <w:r>
        <w:t xml:space="preserve">;</w:t>
      </w:r>
      <w:r>
        <w:t xml:space="preserve"> </w:t>
      </w:r>
      <w:hyperlink w:anchor="ref-sinkeviciuteRoleInputVariability2019">
        <w:r>
          <w:rPr>
            <w:rStyle w:val="Hyperlink"/>
          </w:rPr>
          <w:t xml:space="preserve">Sinkeviciute et al., 2019</w:t>
        </w:r>
      </w:hyperlink>
      <w:r>
        <w:t xml:space="preserve">;</w:t>
      </w:r>
      <w:r>
        <w:t xml:space="preserve"> </w:t>
      </w:r>
      <w:hyperlink w:anchor="X05a5acade1fdd8bd616f6380d0ca460d0ffe88c">
        <w:r>
          <w:rPr>
            <w:rStyle w:val="Hyperlink"/>
          </w:rPr>
          <w:t xml:space="preserve">Wrisberg et al., 1987</w:t>
        </w:r>
      </w:hyperlink>
      <w:r>
        <w:t xml:space="preserve">)</w:t>
      </w:r>
      <w:r>
        <w:t xml:space="preserve">, and many more have suggested that the</w:t>
      </w:r>
      <w:r>
        <w:t xml:space="preserve"> </w:t>
      </w:r>
      <w:r>
        <w:t xml:space="preserve">benefits of variability may depend on additional factors such as prior</w:t>
      </w:r>
      <w:r>
        <w:t xml:space="preserve"> </w:t>
      </w:r>
      <w:r>
        <w:t xml:space="preserve">task experience, the order of training trials, or the type of transfer</w:t>
      </w:r>
      <w:r>
        <w:t xml:space="preserve"> </w:t>
      </w:r>
      <w:r>
        <w:t xml:space="preserve">being measured</w:t>
      </w:r>
      <w:r>
        <w:t xml:space="preserve"> </w:t>
      </w:r>
      <w:r>
        <w:t xml:space="preserve">(</w:t>
      </w:r>
      <w:hyperlink w:anchor="ref-bernikerEffectsTrainingBreadth2014">
        <w:r>
          <w:rPr>
            <w:rStyle w:val="Hyperlink"/>
          </w:rPr>
          <w:t xml:space="preserve">Berniker et al., 2014</w:t>
        </w:r>
      </w:hyperlink>
      <w:r>
        <w:t xml:space="preserve">;</w:t>
      </w:r>
      <w:r>
        <w:t xml:space="preserve"> </w:t>
      </w:r>
      <w:hyperlink w:anchor="ref-braithwaiteEffectsVariationPrior2015">
        <w:r>
          <w:rPr>
            <w:rStyle w:val="Hyperlink"/>
          </w:rPr>
          <w:t xml:space="preserve">Braithwaite &amp; Goldstone, 2015</w:t>
        </w:r>
      </w:hyperlink>
      <w:r>
        <w:t xml:space="preserve">;</w:t>
      </w:r>
      <w:r>
        <w:t xml:space="preserve"> </w:t>
      </w:r>
      <w:hyperlink w:anchor="ref-hahnEffectsCategoryDiversity2005">
        <w:r>
          <w:rPr>
            <w:rStyle w:val="Hyperlink"/>
          </w:rPr>
          <w:t xml:space="preserve">Hahn et al., 2005</w:t>
        </w:r>
      </w:hyperlink>
      <w:r>
        <w:t xml:space="preserve">;</w:t>
      </w:r>
      <w:r>
        <w:t xml:space="preserve"> </w:t>
      </w:r>
      <w:hyperlink w:anchor="ref-lavanEffectsHighVariability2019">
        <w:r>
          <w:rPr>
            <w:rStyle w:val="Hyperlink"/>
          </w:rPr>
          <w:t xml:space="preserve">Lavan et al., 2019</w:t>
        </w:r>
      </w:hyperlink>
      <w:r>
        <w:t xml:space="preserve">;</w:t>
      </w:r>
      <w:r>
        <w:t xml:space="preserve"> </w:t>
      </w:r>
      <w:hyperlink w:anchor="ref-northEffectConsistentVaried2019">
        <w:r>
          <w:rPr>
            <w:rStyle w:val="Hyperlink"/>
          </w:rPr>
          <w:t xml:space="preserve">North et al., 2019</w:t>
        </w:r>
      </w:hyperlink>
      <w:r>
        <w:t xml:space="preserve">;</w:t>
      </w:r>
      <w:r>
        <w:t xml:space="preserve"> </w:t>
      </w:r>
      <w:hyperlink w:anchor="X57583d54ccab43c744e0fa2336e4c556df32b13">
        <w:r>
          <w:rPr>
            <w:rStyle w:val="Hyperlink"/>
          </w:rPr>
          <w:t xml:space="preserve">Sadakata &amp; McQueen, 2014</w:t>
        </w:r>
      </w:hyperlink>
      <w:r>
        <w:t xml:space="preserve">;</w:t>
      </w:r>
      <w:r>
        <w:t xml:space="preserve"> </w:t>
      </w:r>
      <w:hyperlink w:anchor="Xea24fb841ed3c121e2d9fcd335e33f8b38a7184">
        <w:r>
          <w:rPr>
            <w:rStyle w:val="Hyperlink"/>
          </w:rPr>
          <w:t xml:space="preserve">Zaman et al., 2021</w:t>
        </w:r>
      </w:hyperlink>
      <w:r>
        <w:t xml:space="preserve">)</w:t>
      </w:r>
      <w:r>
        <w:t xml:space="preserve">.</w:t>
      </w:r>
    </w:p>
    <w:bookmarkStart w:id="39" w:name="issues-with-previous-research"/>
    <w:p>
      <w:pPr>
        <w:pStyle w:val="Heading3"/>
      </w:pPr>
      <w:r>
        <w:t xml:space="preserve">Issues with Previous Research</w:t>
      </w:r>
    </w:p>
    <w:p>
      <w:pPr>
        <w:pStyle w:val="FirstParagraph"/>
      </w:pPr>
      <w:r>
        <w:t xml:space="preserve">Although the benefits of training variation in visuomotor skill learning</w:t>
      </w:r>
      <w:r>
        <w:t xml:space="preserve"> </w:t>
      </w:r>
      <w:r>
        <w:t xml:space="preserve">have been observed many times, null findings have also been repeatedly</w:t>
      </w:r>
      <w:r>
        <w:t xml:space="preserve"> </w:t>
      </w:r>
      <w:r>
        <w:t xml:space="preserve">found, leading some researchers to question the veracity of the</w:t>
      </w:r>
      <w:r>
        <w:t xml:space="preserve"> </w:t>
      </w:r>
      <w:r>
        <w:t xml:space="preserve">variability of practice hypothesis</w:t>
      </w:r>
      <w:r>
        <w:t xml:space="preserve"> </w:t>
      </w:r>
      <w:r>
        <w:t xml:space="preserve">(</w:t>
      </w:r>
      <w:hyperlink w:anchor="ref-newellSchemaTheory19752003">
        <w:r>
          <w:rPr>
            <w:rStyle w:val="Hyperlink"/>
          </w:rPr>
          <w:t xml:space="preserve">Newell, 2003</w:t>
        </w:r>
      </w:hyperlink>
      <w:r>
        <w:t xml:space="preserve">;</w:t>
      </w:r>
      <w:r>
        <w:t xml:space="preserve"> </w:t>
      </w:r>
      <w:hyperlink w:anchor="ref-vanrossumSchmidtSchemaTheory1990">
        <w:r>
          <w:rPr>
            <w:rStyle w:val="Hyperlink"/>
          </w:rPr>
          <w:t xml:space="preserve">Van Rossum, 1990</w:t>
        </w:r>
      </w:hyperlink>
      <w:r>
        <w:t xml:space="preserve">)</w:t>
      </w:r>
      <w:r>
        <w:t xml:space="preserve">.</w:t>
      </w:r>
      <w:r>
        <w:t xml:space="preserve"> </w:t>
      </w:r>
      <w:r>
        <w:t xml:space="preserve">Critics have also pointed out that investigations of the effects of</w:t>
      </w:r>
      <w:r>
        <w:t xml:space="preserve"> </w:t>
      </w:r>
      <w:r>
        <w:t xml:space="preserve">training variability, of the sort described above, often fail to control</w:t>
      </w:r>
      <w:r>
        <w:t xml:space="preserve"> </w:t>
      </w:r>
      <w:r>
        <w:t xml:space="preserve">for the effect of similarity between training and testing conditions.</w:t>
      </w:r>
      <w:r>
        <w:t xml:space="preserve"> </w:t>
      </w:r>
      <w:r>
        <w:t xml:space="preserve">For training tasks in which participants have numerous degrees of</w:t>
      </w:r>
      <w:r>
        <w:t xml:space="preserve"> </w:t>
      </w:r>
      <w:r>
        <w:t xml:space="preserve">freedom (e.g. projectile throwing tasks where participants control the x</w:t>
      </w:r>
      <w:r>
        <w:t xml:space="preserve"> </w:t>
      </w:r>
      <w:r>
        <w:t xml:space="preserve">and y velocity of the projectile), varied groups are likely to</w:t>
      </w:r>
      <w:r>
        <w:t xml:space="preserve"> </w:t>
      </w:r>
      <w:r>
        <w:t xml:space="preserve">experience a wider range of the task space over the course of their</w:t>
      </w:r>
      <w:r>
        <w:t xml:space="preserve"> </w:t>
      </w:r>
      <w:r>
        <w:t xml:space="preserve">training (e.g. more unique combinations of x and y velocities).</w:t>
      </w:r>
      <w:r>
        <w:t xml:space="preserve"> </w:t>
      </w:r>
      <w:r>
        <w:t xml:space="preserve">Experimenters may attempt to account for this possibility by ensuring</w:t>
      </w:r>
      <w:r>
        <w:t xml:space="preserve"> </w:t>
      </w:r>
      <w:r>
        <w:t xml:space="preserve">that the training location(s) of the varied and constant groups are an</w:t>
      </w:r>
      <w:r>
        <w:t xml:space="preserve"> </w:t>
      </w:r>
      <w:r>
        <w:t xml:space="preserve">equal distance away from the eventual transfer locations, such that</w:t>
      </w:r>
      <w:r>
        <w:t xml:space="preserve"> </w:t>
      </w:r>
      <w:r>
        <w:t xml:space="preserve">their training throws are, on average, equally similar to throws that</w:t>
      </w:r>
      <w:r>
        <w:t xml:space="preserve"> </w:t>
      </w:r>
      <w:r>
        <w:t xml:space="preserve">would lead to good performance at the transfer locations. However, even</w:t>
      </w:r>
      <w:r>
        <w:t xml:space="preserve"> </w:t>
      </w:r>
      <w:r>
        <w:t xml:space="preserve">this level of experimental control may still be insufficient to rule out</w:t>
      </w:r>
      <w:r>
        <w:t xml:space="preserve"> </w:t>
      </w:r>
      <w:r>
        <w:t xml:space="preserve">the effect of similarity on transfer. Given that psychological</w:t>
      </w:r>
      <w:r>
        <w:t xml:space="preserve"> </w:t>
      </w:r>
      <w:r>
        <w:t xml:space="preserve">similarity is typically best described as either a Gaussian or</w:t>
      </w:r>
      <w:r>
        <w:t xml:space="preserve"> </w:t>
      </w:r>
      <w:r>
        <w:t xml:space="preserve">exponentially decaying function of psychological distance</w:t>
      </w:r>
      <w:r>
        <w:t xml:space="preserve"> </w:t>
      </w:r>
      <w:r>
        <w:t xml:space="preserve">(</w:t>
      </w:r>
      <w:hyperlink w:anchor="X69ab5b8cf7754feb74b917c4efbc54356a88e59">
        <w:r>
          <w:rPr>
            <w:rStyle w:val="Hyperlink"/>
          </w:rPr>
          <w:t xml:space="preserve">Ennis et al., 1988</w:t>
        </w:r>
      </w:hyperlink>
      <w:r>
        <w:t xml:space="preserve">;</w:t>
      </w:r>
      <w:r>
        <w:t xml:space="preserve"> </w:t>
      </w:r>
      <w:hyperlink w:anchor="X40d435793300079c57a178cf11fa7c4aa95dc91">
        <w:r>
          <w:rPr>
            <w:rStyle w:val="Hyperlink"/>
          </w:rPr>
          <w:t xml:space="preserve">Ghahramani et al., 1996</w:t>
        </w:r>
      </w:hyperlink>
      <w:r>
        <w:t xml:space="preserve">;</w:t>
      </w:r>
      <w:r>
        <w:t xml:space="preserve"> </w:t>
      </w:r>
      <w:hyperlink w:anchor="X57395495d5c23810e5964fa53422f800454b375">
        <w:r>
          <w:rPr>
            <w:rStyle w:val="Hyperlink"/>
          </w:rPr>
          <w:t xml:space="preserve">Logan, 1988</w:t>
        </w:r>
      </w:hyperlink>
      <w:r>
        <w:t xml:space="preserve">;</w:t>
      </w:r>
      <w:r>
        <w:t xml:space="preserve"> </w:t>
      </w:r>
      <w:hyperlink w:anchor="X639a429f50283f5b36ce92c57a3abdf26659eda">
        <w:r>
          <w:rPr>
            <w:rStyle w:val="Hyperlink"/>
          </w:rPr>
          <w:t xml:space="preserve">Nosofsky, 1992</w:t>
        </w:r>
      </w:hyperlink>
      <w:r>
        <w:t xml:space="preserve">;</w:t>
      </w:r>
      <w:r>
        <w:t xml:space="preserve"> </w:t>
      </w:r>
      <w:hyperlink w:anchor="Xba9007bcdae70d35df09ac345233f10159cb4bf">
        <w:r>
          <w:rPr>
            <w:rStyle w:val="Hyperlink"/>
          </w:rPr>
          <w:t xml:space="preserve">Shepard, 1987</w:t>
        </w:r>
      </w:hyperlink>
      <w:r>
        <w:t xml:space="preserve">;</w:t>
      </w:r>
      <w:r>
        <w:t xml:space="preserve"> </w:t>
      </w:r>
      <w:hyperlink w:anchor="ref-thoroughmanRapidReshapingHuman2005">
        <w:r>
          <w:rPr>
            <w:rStyle w:val="Hyperlink"/>
          </w:rPr>
          <w:t xml:space="preserve">Thoroughman &amp; Taylor, 2005</w:t>
        </w:r>
      </w:hyperlink>
      <w:r>
        <w:t xml:space="preserve"> </w:t>
      </w:r>
      <w:r>
        <w:t xml:space="preserve">)</w:t>
      </w:r>
      <w:r>
        <w:t xml:space="preserve">, it is plausible that a subset of the</w:t>
      </w:r>
      <w:r>
        <w:t xml:space="preserve"> </w:t>
      </w:r>
      <w:r>
        <w:t xml:space="preserve">most similar training instances could have a disproportionate impact on</w:t>
      </w:r>
      <w:r>
        <w:t xml:space="preserve"> </w:t>
      </w:r>
      <w:r>
        <w:t xml:space="preserve">generalization to transfer conditions, even if the average distance</w:t>
      </w:r>
      <w:r>
        <w:t xml:space="preserve"> </w:t>
      </w:r>
      <w:r>
        <w:t xml:space="preserve">between training and transfer conditions is identical between groups.</w:t>
      </w:r>
      <w:r>
        <w:t xml:space="preserve"> </w:t>
      </w:r>
      <w:hyperlink w:anchor="fig-toy-model1">
        <w:r>
          <w:rPr>
            <w:rStyle w:val="Hyperlink"/>
          </w:rPr>
          <w:t xml:space="preserve">Figure 1</w:t>
        </w:r>
      </w:hyperlink>
      <w:r>
        <w:t xml:space="preserve"> </w:t>
      </w:r>
      <w:r>
        <w:t xml:space="preserve">demonstrates the consequences of a generalization gradient that</w:t>
      </w:r>
      <w:r>
        <w:t xml:space="preserve"> </w:t>
      </w:r>
      <w:r>
        <w:t xml:space="preserve">drops off as a Gaussian function of distance from training, as compared</w:t>
      </w:r>
      <w:r>
        <w:t xml:space="preserve"> </w:t>
      </w:r>
      <w:r>
        <w:t xml:space="preserve">to a linear drop-off.</w:t>
      </w:r>
    </w:p>
    <w:tbl>
      <w:tblPr>
        <w:tblStyle w:val="Table"/>
        <w:tblW w:type="pct" w:w="5000"/>
        <w:tblLook w:firstRow="0" w:lastRow="0" w:firstColumn="0" w:lastColumn="0" w:noHBand="0" w:noVBand="0" w:val="0000"/>
        <w:jc w:val="start"/>
        <w:tblLayout w:type="fixed"/>
      </w:tblPr>
      <w:tblGrid>
        <w:gridCol w:w="7920"/>
      </w:tblGrid>
      <w:tr>
        <w:tc>
          <w:tcPr/>
          <w:bookmarkStart w:id="38" w:name="fig-toy-model1"/>
          <w:p>
            <w:pPr>
              <w:pStyle w:val="Compact"/>
              <w:jc w:val="center"/>
            </w:pPr>
          </w:p>
          <w:p>
            <w:pPr>
              <w:jc w:val="center"/>
            </w:pPr>
            <w:pPr>
              <w:jc w:val="start"/>
              <w:spacing w:before="200"/>
              <w:pStyle w:val="ImageCaption"/>
            </w:pPr>
            <w:r>
              <w:t xml:space="preserve">Figure 1: Left panel- Generalization predicted from a simple model that assumes a linear generalization function. A varied group (red vertical lines indicate the 2 training locations) trained from positions 400 and 800, and a constant group (blue vertical line), trained from position 600. Right panel- if a Gaussian generalization function is assumed, then varied training (400, 800) is predicted to result in better generalization to positions close to 400 and 800 than does constant training at 600. (For interpretation of the references to color in this figure legend, the reader is referred to the web version of this article.)</w:t>
            </w:r>
          </w:p>
          <w:bookmarkEnd w:id="38"/>
        </w:tc>
      </w:tr>
    </w:tbl>
    <w:p>
      <w:pPr>
        <w:pStyle w:val="BodyText"/>
      </w:pPr>
      <w:r>
        <w:t xml:space="preserve">In addition to largely overlooking the potential for non-linear</w:t>
      </w:r>
      <w:r>
        <w:t xml:space="preserve"> </w:t>
      </w:r>
      <w:r>
        <w:t xml:space="preserve">generalization to confound interpretations of training manipulations,</w:t>
      </w:r>
      <w:r>
        <w:t xml:space="preserve"> </w:t>
      </w:r>
      <w:r>
        <w:t xml:space="preserve">the visuomotor skill learning literature also rarely considers</w:t>
      </w:r>
      <w:r>
        <w:t xml:space="preserve"> </w:t>
      </w:r>
      <w:r>
        <w:t xml:space="preserve">alternatives to schema representations</w:t>
      </w:r>
      <w:r>
        <w:t xml:space="preserve"> </w:t>
      </w:r>
      <w:r>
        <w:t xml:space="preserve">(</w:t>
      </w:r>
      <w:hyperlink w:anchor="Xf9eccc804582a986ca8ab5910d68eb67ab46735">
        <w:r>
          <w:rPr>
            <w:rStyle w:val="Hyperlink"/>
          </w:rPr>
          <w:t xml:space="preserve">Chamberlin &amp; Magill, 1992b</w:t>
        </w:r>
      </w:hyperlink>
      <w:r>
        <w:t xml:space="preserve">)</w:t>
      </w:r>
      <w:r>
        <w:t xml:space="preserve">.</w:t>
      </w:r>
      <w:r>
        <w:t xml:space="preserve"> </w:t>
      </w:r>
      <w:r>
        <w:t xml:space="preserve">Although schema-theory remains influential within certain literatures,</w:t>
      </w:r>
      <w:r>
        <w:t xml:space="preserve"> </w:t>
      </w:r>
      <w:r>
        <w:t xml:space="preserve">instance or exemplar-based models have accounted for human behavior</w:t>
      </w:r>
      <w:r>
        <w:t xml:space="preserve"> </w:t>
      </w:r>
      <w:r>
        <w:t xml:space="preserve">across myriad domains</w:t>
      </w:r>
      <w:r>
        <w:t xml:space="preserve"> </w:t>
      </w:r>
      <w:r>
        <w:t xml:space="preserve">(</w:t>
      </w:r>
      <w:hyperlink w:anchor="Xf5783815c7ed800a0ae02845a66384d9da1ebe7">
        <w:r>
          <w:rPr>
            <w:rStyle w:val="Hyperlink"/>
          </w:rPr>
          <w:t xml:space="preserve">Jamieson et al., 2022</w:t>
        </w:r>
      </w:hyperlink>
      <w:r>
        <w:t xml:space="preserve">;</w:t>
      </w:r>
      <w:r>
        <w:t xml:space="preserve"> </w:t>
      </w:r>
      <w:hyperlink w:anchor="ref-loganInstanceTheoryAttention2002a">
        <w:r>
          <w:rPr>
            <w:rStyle w:val="Hyperlink"/>
          </w:rPr>
          <w:t xml:space="preserve">Logan, 2002</w:t>
        </w:r>
      </w:hyperlink>
      <w:r>
        <w:t xml:space="preserve">)</w:t>
      </w:r>
      <w:r>
        <w:t xml:space="preserve">. As mentioned above, instance based accounts have been shown to perform well on a</w:t>
      </w:r>
      <w:r>
        <w:t xml:space="preserve"> </w:t>
      </w:r>
      <w:r>
        <w:t xml:space="preserve">variety of different tasks with motoric components</w:t>
      </w:r>
      <w:r>
        <w:t xml:space="preserve"> </w:t>
      </w:r>
      <w:r>
        <w:t xml:space="preserve">(</w:t>
      </w:r>
      <w:hyperlink w:anchor="Xc238d332495d5cd1e8e6854b9a008d57c3788f8">
        <w:r>
          <w:rPr>
            <w:rStyle w:val="Hyperlink"/>
          </w:rPr>
          <w:t xml:space="preserve">Crump &amp; Logan, 2010</w:t>
        </w:r>
      </w:hyperlink>
      <w:r>
        <w:t xml:space="preserve">;</w:t>
      </w:r>
      <w:r>
        <w:t xml:space="preserve"> </w:t>
      </w:r>
      <w:hyperlink w:anchor="ref-gandolfoMotorLearningField1996a">
        <w:r>
          <w:rPr>
            <w:rStyle w:val="Hyperlink"/>
          </w:rPr>
          <w:t xml:space="preserve">Gandolfo et al., 1996</w:t>
        </w:r>
      </w:hyperlink>
      <w:r>
        <w:t xml:space="preserve">;</w:t>
      </w:r>
      <w:r>
        <w:t xml:space="preserve"> </w:t>
      </w:r>
      <w:hyperlink w:anchor="ref-meighWhatMemoryRepresentation2018">
        <w:r>
          <w:rPr>
            <w:rStyle w:val="Hyperlink"/>
          </w:rPr>
          <w:t xml:space="preserve">Meigh et al., 2018</w:t>
        </w:r>
      </w:hyperlink>
      <w:r>
        <w:t xml:space="preserve">;</w:t>
      </w:r>
      <w:r>
        <w:t xml:space="preserve"> </w:t>
      </w:r>
      <w:hyperlink w:anchor="Xcab8540473416335c7d4745a50e2ba7c2a2f664">
        <w:r>
          <w:rPr>
            <w:rStyle w:val="Hyperlink"/>
          </w:rPr>
          <w:t xml:space="preserve">Rosenbaum et al., 1995</w:t>
        </w:r>
      </w:hyperlink>
      <w:r>
        <w:t xml:space="preserve">;</w:t>
      </w:r>
      <w:r>
        <w:t xml:space="preserve"> </w:t>
      </w:r>
      <w:hyperlink w:anchor="ref-vandamMappingShapeVisuomotor2015">
        <w:r>
          <w:rPr>
            <w:rStyle w:val="Hyperlink"/>
          </w:rPr>
          <w:t xml:space="preserve">van Dam &amp; Ernst, 2015</w:t>
        </w:r>
      </w:hyperlink>
      <w:r>
        <w:t xml:space="preserve">)</w:t>
      </w:r>
      <w:r>
        <w:t xml:space="preserve">. However, such accounts have received little</w:t>
      </w:r>
      <w:r>
        <w:t xml:space="preserve"> </w:t>
      </w:r>
      <w:r>
        <w:t xml:space="preserve">attention within the subdomain of visuomotor skill learning focused on</w:t>
      </w:r>
      <w:r>
        <w:t xml:space="preserve"> </w:t>
      </w:r>
      <w:r>
        <w:t xml:space="preserve">the benefits of varied training.</w:t>
      </w:r>
    </w:p>
    <w:p>
      <w:pPr>
        <w:pStyle w:val="BodyText"/>
      </w:pPr>
      <w:r>
        <w:t xml:space="preserve">The present work examines whether the commonly observed benefits of</w:t>
      </w:r>
      <w:r>
        <w:t xml:space="preserve"> </w:t>
      </w:r>
      <w:r>
        <w:t xml:space="preserve">varied training can be accounted for by between-group differences in</w:t>
      </w:r>
      <w:r>
        <w:t xml:space="preserve"> </w:t>
      </w:r>
      <w:r>
        <w:t xml:space="preserve">similarity between training and testing throws. We first attempt to</w:t>
      </w:r>
      <w:r>
        <w:t xml:space="preserve"> </w:t>
      </w:r>
      <w:r>
        <w:t xml:space="preserve">replicate previous work finding an advantage of varied training over</w:t>
      </w:r>
      <w:r>
        <w:t xml:space="preserve"> </w:t>
      </w:r>
      <w:r>
        <w:t xml:space="preserve">constant training in a projectile launching task. We then examine the</w:t>
      </w:r>
      <w:r>
        <w:t xml:space="preserve"> </w:t>
      </w:r>
      <w:r>
        <w:t xml:space="preserve">extent to which this advantage can be explained by an instance-based</w:t>
      </w:r>
      <w:r>
        <w:t xml:space="preserve"> </w:t>
      </w:r>
      <w:r>
        <w:t xml:space="preserve">similarity model.</w:t>
      </w:r>
    </w:p>
    <w:bookmarkEnd w:id="39"/>
    <w:bookmarkEnd w:id="40"/>
    <w:bookmarkStart w:id="58" w:name="experiment-1"/>
    <w:p>
      <w:pPr>
        <w:pStyle w:val="Heading2"/>
      </w:pPr>
      <w:r>
        <w:t xml:space="preserve">Experiment 1</w:t>
      </w:r>
    </w:p>
    <w:bookmarkStart w:id="49" w:name="methods"/>
    <w:p>
      <w:pPr>
        <w:pStyle w:val="Heading3"/>
      </w:pPr>
      <w:r>
        <w:t xml:space="preserve">Methods</w:t>
      </w:r>
    </w:p>
    <w:bookmarkStart w:id="41" w:name="sample-size-estimation"/>
    <w:p>
      <w:pPr>
        <w:pStyle w:val="Heading4"/>
      </w:pPr>
      <w:r>
        <w:t xml:space="preserve">Sample Size Estimation</w:t>
      </w:r>
    </w:p>
    <w:p>
      <w:pPr>
        <w:pStyle w:val="FirstParagraph"/>
      </w:pPr>
      <w:r>
        <w:t xml:space="preserve">To obtain an independent estimate of effect size, we identified previous</w:t>
      </w:r>
      <w:r>
        <w:t xml:space="preserve"> </w:t>
      </w:r>
      <w:r>
        <w:t xml:space="preserve">investigations which included between-subjects contrasts of varied and</w:t>
      </w:r>
      <w:r>
        <w:t xml:space="preserve"> </w:t>
      </w:r>
      <w:r>
        <w:t xml:space="preserve">constant conditions following training on an accuracy based projectile</w:t>
      </w:r>
      <w:r>
        <w:t xml:space="preserve"> </w:t>
      </w:r>
      <w:r>
        <w:t xml:space="preserve">launching task</w:t>
      </w:r>
      <w:r>
        <w:t xml:space="preserve"> </w:t>
      </w:r>
      <w:r>
        <w:t xml:space="preserve">(</w:t>
      </w:r>
      <w:hyperlink w:anchor="ref-chuaPracticeVariabilityPromotes2019">
        <w:r>
          <w:rPr>
            <w:rStyle w:val="Hyperlink"/>
          </w:rPr>
          <w:t xml:space="preserve">Chua et al., 2019</w:t>
        </w:r>
      </w:hyperlink>
      <w:r>
        <w:t xml:space="preserve">;</w:t>
      </w:r>
      <w:r>
        <w:t xml:space="preserve"> </w:t>
      </w:r>
      <w:hyperlink w:anchor="ref-goodwinEffectDifferentQuantities1998">
        <w:r>
          <w:rPr>
            <w:rStyle w:val="Hyperlink"/>
          </w:rPr>
          <w:t xml:space="preserve">Goodwin et al., 1998</w:t>
        </w:r>
      </w:hyperlink>
      <w:r>
        <w:t xml:space="preserve">;</w:t>
      </w:r>
      <w:r>
        <w:t xml:space="preserve"> </w:t>
      </w:r>
      <w:hyperlink w:anchor="ref-kerrSpecificVariedPractice1978">
        <w:r>
          <w:rPr>
            <w:rStyle w:val="Hyperlink"/>
          </w:rPr>
          <w:t xml:space="preserve">Kerr &amp; Booth, 1978</w:t>
        </w:r>
      </w:hyperlink>
      <w:r>
        <w:t xml:space="preserve">;</w:t>
      </w:r>
      <w:r>
        <w:t xml:space="preserve"> </w:t>
      </w:r>
      <w:hyperlink w:anchor="ref-wulfEffectTypePractice1991">
        <w:r>
          <w:rPr>
            <w:rStyle w:val="Hyperlink"/>
          </w:rPr>
          <w:t xml:space="preserve">Wulf, 1991</w:t>
        </w:r>
      </w:hyperlink>
      <w:r>
        <w:t xml:space="preserve">)</w:t>
      </w:r>
      <w:r>
        <w:t xml:space="preserve">. We then averaged effects across these studies,</w:t>
      </w:r>
      <w:r>
        <w:t xml:space="preserve"> </w:t>
      </w:r>
      <w:r>
        <w:t xml:space="preserve">yielding a Cohens f =.43. The GPower 3.1 software package</w:t>
      </w:r>
      <w:r>
        <w:t xml:space="preserve"> </w:t>
      </w:r>
      <w:r>
        <w:t xml:space="preserve">(</w:t>
      </w:r>
      <w:hyperlink w:anchor="ref-faulStatisticalPowerAnalyses2009">
        <w:r>
          <w:rPr>
            <w:rStyle w:val="Hyperlink"/>
          </w:rPr>
          <w:t xml:space="preserve">Faul et al., 2009</w:t>
        </w:r>
      </w:hyperlink>
      <w:r>
        <w:t xml:space="preserve">)</w:t>
      </w:r>
      <w:r>
        <w:t xml:space="preserve">,</w:t>
      </w:r>
      <w:r>
        <w:t xml:space="preserve"> </w:t>
      </w:r>
      <w:r>
        <w:t xml:space="preserve">2009) was then used to determine that a power of 80% requires a sample</w:t>
      </w:r>
      <w:r>
        <w:t xml:space="preserve"> </w:t>
      </w:r>
      <w:r>
        <w:t xml:space="preserve">size of at least 23 participants per condition. All experiments reported</w:t>
      </w:r>
      <w:r>
        <w:t xml:space="preserve"> </w:t>
      </w:r>
      <w:r>
        <w:t xml:space="preserve">in the present manuscript exceed this minimum number of participants per</w:t>
      </w:r>
      <w:r>
        <w:t xml:space="preserve"> </w:t>
      </w:r>
      <w:r>
        <w:t xml:space="preserve">condition.</w:t>
      </w:r>
    </w:p>
    <w:bookmarkEnd w:id="41"/>
    <w:bookmarkStart w:id="42" w:name="participants"/>
    <w:p>
      <w:pPr>
        <w:pStyle w:val="Heading4"/>
      </w:pPr>
      <w:r>
        <w:t xml:space="preserve">Participants</w:t>
      </w:r>
    </w:p>
    <w:p>
      <w:pPr>
        <w:pStyle w:val="FirstParagraph"/>
      </w:pPr>
      <w:r>
        <w:t xml:space="preserve">Participants were recruited from an undergraduate population that is 63%</w:t>
      </w:r>
      <w:r>
        <w:t xml:space="preserve"> </w:t>
      </w:r>
      <w:r>
        <w:t xml:space="preserve">female and consists almost entirely of individuals aged 18-22 years. A</w:t>
      </w:r>
      <w:r>
        <w:t xml:space="preserve"> </w:t>
      </w:r>
      <w:r>
        <w:t xml:space="preserve">total of 110 Indiana University psychology students participated in</w:t>
      </w:r>
      <w:r>
        <w:t xml:space="preserve"> </w:t>
      </w:r>
      <w:r>
        <w:t xml:space="preserve">Experiment 1. We subsequently excluded 34 participants poor performance</w:t>
      </w:r>
      <w:r>
        <w:t xml:space="preserve"> </w:t>
      </w:r>
      <w:r>
        <w:t xml:space="preserve">at one of the dependent measures of the task (2.5-3 standard deviations</w:t>
      </w:r>
      <w:r>
        <w:t xml:space="preserve"> </w:t>
      </w:r>
      <w:r>
        <w:t xml:space="preserve">worse than the median subject at the task) or for displaying a pattern</w:t>
      </w:r>
      <w:r>
        <w:t xml:space="preserve"> </w:t>
      </w:r>
      <w:r>
        <w:t xml:space="preserve">of responses that was clearly indicative of a lack of engagement with</w:t>
      </w:r>
      <w:r>
        <w:t xml:space="preserve"> </w:t>
      </w:r>
      <w:r>
        <w:t xml:space="preserve">the task (e.g. simply dropping the ball on each trial rather than</w:t>
      </w:r>
      <w:r>
        <w:t xml:space="preserve"> </w:t>
      </w:r>
      <w:r>
        <w:t xml:space="preserve">throwing it at the target), or for reporting that they completed the</w:t>
      </w:r>
      <w:r>
        <w:t xml:space="preserve"> </w:t>
      </w:r>
      <w:r>
        <w:t xml:space="preserve">experiment on a phone or tablet device, despite the instructions not to</w:t>
      </w:r>
      <w:r>
        <w:t xml:space="preserve"> </w:t>
      </w:r>
      <w:r>
        <w:t xml:space="preserve">use one of these devices. A total of 74 participants were retained for</w:t>
      </w:r>
      <w:r>
        <w:t xml:space="preserve"> </w:t>
      </w:r>
      <w:r>
        <w:t xml:space="preserve">the final analyses, 35 in the varied group and 39 in the constant group.</w:t>
      </w:r>
    </w:p>
    <w:bookmarkEnd w:id="42"/>
    <w:bookmarkStart w:id="48" w:name="task"/>
    <w:p>
      <w:pPr>
        <w:pStyle w:val="Heading4"/>
      </w:pPr>
      <w:r>
        <w:t xml:space="preserve">Task</w:t>
      </w:r>
    </w:p>
    <w:p>
      <w:pPr>
        <w:pStyle w:val="FirstParagraph"/>
      </w:pPr>
      <w:r>
        <w:t xml:space="preserve">The experimental task was programmed in JavaScript, using packages from</w:t>
      </w:r>
      <w:r>
        <w:t xml:space="preserve"> </w:t>
      </w:r>
      <w:r>
        <w:t xml:space="preserve">the Phaser physics engine (https://phaser.io) and the jsPsych library</w:t>
      </w:r>
      <w:r>
        <w:t xml:space="preserve"> </w:t>
      </w:r>
      <w:r>
        <w:t xml:space="preserve">(de Leeuw, 2015). The stimuli, presented on a black background,</w:t>
      </w:r>
      <w:r>
        <w:t xml:space="preserve"> </w:t>
      </w:r>
      <w:r>
        <w:t xml:space="preserve">consisted of a circular blue ball – controlled by the participant via</w:t>
      </w:r>
      <w:r>
        <w:t xml:space="preserve"> </w:t>
      </w:r>
      <w:r>
        <w:t xml:space="preserve">the mouse or trackpad cursor; a rectangular green target; a red</w:t>
      </w:r>
      <w:r>
        <w:t xml:space="preserve"> </w:t>
      </w:r>
      <w:r>
        <w:t xml:space="preserve">rectangular barrier located between the ball and the target; and an</w:t>
      </w:r>
      <w:r>
        <w:t xml:space="preserve"> </w:t>
      </w:r>
      <w:r>
        <w:t xml:space="preserve">orange square within which the participant could control the ball before</w:t>
      </w:r>
      <w:r>
        <w:t xml:space="preserve"> </w:t>
      </w:r>
      <w:r>
        <w:t xml:space="preserve">releasing it in a throw towards the target. Because the task was</w:t>
      </w:r>
      <w:r>
        <w:t xml:space="preserve"> </w:t>
      </w:r>
      <w:r>
        <w:t xml:space="preserve">administered online, the absolute distance between stimuli could vary</w:t>
      </w:r>
      <w:r>
        <w:t xml:space="preserve"> </w:t>
      </w:r>
      <w:r>
        <w:t xml:space="preserve">depending on the size of the computer monitor being used, but the</w:t>
      </w:r>
      <w:r>
        <w:t xml:space="preserve"> </w:t>
      </w:r>
      <w:r>
        <w:t xml:space="preserve">relative distance between the stimuli was held constant. Likewise, the</w:t>
      </w:r>
      <w:r>
        <w:t xml:space="preserve"> </w:t>
      </w:r>
      <w:r>
        <w:t xml:space="preserve">distance between the center of the target, and the training and testing</w:t>
      </w:r>
      <w:r>
        <w:t xml:space="preserve"> </w:t>
      </w:r>
      <w:r>
        <w:t xml:space="preserve">locations was scaled such that relative distances were preserved</w:t>
      </w:r>
      <w:r>
        <w:t xml:space="preserve"> </w:t>
      </w:r>
      <w:r>
        <w:t xml:space="preserve">regardless of screen size. For the sake of brevity, subsequent mentions</w:t>
      </w:r>
      <w:r>
        <w:t xml:space="preserve"> </w:t>
      </w:r>
      <w:r>
        <w:t xml:space="preserve">of this relative distance between stimuli, or the position where the</w:t>
      </w:r>
      <w:r>
        <w:t xml:space="preserve"> </w:t>
      </w:r>
      <w:r>
        <w:t xml:space="preserve">ball landed in relation to the center of the target, will be referred to</w:t>
      </w:r>
      <w:r>
        <w:t xml:space="preserve"> </w:t>
      </w:r>
      <w:r>
        <w:t xml:space="preserve">simply as distance.</w:t>
      </w:r>
      <w:r>
        <w:t xml:space="preserve"> </w:t>
      </w:r>
      <w:hyperlink w:anchor="fig-igasTask">
        <w:r>
          <w:rPr>
            <w:rStyle w:val="Hyperlink"/>
          </w:rPr>
          <w:t xml:space="preserve">Figure 2</w:t>
        </w:r>
      </w:hyperlink>
      <w:r>
        <w:t xml:space="preserve"> </w:t>
      </w:r>
      <w:r>
        <w:t xml:space="preserve">displays the layout of the task, as</w:t>
      </w:r>
      <w:r>
        <w:t xml:space="preserve"> </w:t>
      </w:r>
      <w:r>
        <w:t xml:space="preserve">it would appear to a participant at the start of a trial, with the ball</w:t>
      </w:r>
      <w:r>
        <w:t xml:space="preserve"> </w:t>
      </w:r>
      <w:r>
        <w:t xml:space="preserve">appearing in the center of the orange square. Using a mouse or trackpad,</w:t>
      </w:r>
      <w:r>
        <w:t xml:space="preserve"> </w:t>
      </w:r>
      <w:r>
        <w:t xml:space="preserve">participants click down on the ball to take control of the ball,</w:t>
      </w:r>
      <w:r>
        <w:t xml:space="preserve"> </w:t>
      </w:r>
      <w:r>
        <w:t xml:space="preserve">connecting the movement of the ball to the movement of the cursor.</w:t>
      </w:r>
      <w:r>
        <w:t xml:space="preserve"> </w:t>
      </w:r>
      <w:r>
        <w:t xml:space="preserve">Participants can then</w:t>
      </w:r>
      <w:r>
        <w:t xml:space="preserve"> </w:t>
      </w:r>
      <w:r>
        <w:t xml:space="preserve">“</w:t>
      </w:r>
      <w:r>
        <w:t xml:space="preserve">wind up</w:t>
      </w:r>
      <w:r>
        <w:t xml:space="preserve">”</w:t>
      </w:r>
      <w:r>
        <w:t xml:space="preserve"> </w:t>
      </w:r>
      <w:r>
        <w:t xml:space="preserve">the ball by dragging it (within the</w:t>
      </w:r>
      <w:r>
        <w:t xml:space="preserve"> </w:t>
      </w:r>
      <w:r>
        <w:t xml:space="preserve">confines of the orange square) and then launch the ball by releasing the</w:t>
      </w:r>
      <w:r>
        <w:t xml:space="preserve"> </w:t>
      </w:r>
      <w:r>
        <w:t xml:space="preserve">cursor. If the ball does not land on the target, participants are</w:t>
      </w:r>
      <w:r>
        <w:t xml:space="preserve"> </w:t>
      </w:r>
      <w:r>
        <w:t xml:space="preserve">presented with feedback in red text at the top right of the screen, on</w:t>
      </w:r>
      <w:r>
        <w:t xml:space="preserve"> </w:t>
      </w:r>
      <w:r>
        <w:t xml:space="preserve">how many units away they were from the center of the target. If the ball</w:t>
      </w:r>
      <w:r>
        <w:t xml:space="preserve"> </w:t>
      </w:r>
      <w:r>
        <w:t xml:space="preserve">was thrown outside of the boundary of the screen participants are given</w:t>
      </w:r>
      <w:r>
        <w:t xml:space="preserve"> </w:t>
      </w:r>
      <w:r>
        <w:t xml:space="preserve">feedback as to how far away from the target center the ball would have</w:t>
      </w:r>
      <w:r>
        <w:t xml:space="preserve"> </w:t>
      </w:r>
      <w:r>
        <w:t xml:space="preserve">been if it had continued its trajectory. If the ball strikes the barrier</w:t>
      </w:r>
      <w:r>
        <w:t xml:space="preserve"> </w:t>
      </w:r>
      <w:r>
        <w:t xml:space="preserve">(from the side or by landing on top), feedback is presented telling</w:t>
      </w:r>
      <w:r>
        <w:t xml:space="preserve"> </w:t>
      </w:r>
      <w:r>
        <w:t xml:space="preserve">participants to avoid hitting the barrier. If participants drag the ball</w:t>
      </w:r>
      <w:r>
        <w:t xml:space="preserve"> </w:t>
      </w:r>
      <w:r>
        <w:t xml:space="preserve">outside of the orange square before releasing it, the trial terminates,</w:t>
      </w:r>
      <w:r>
        <w:t xml:space="preserve"> </w:t>
      </w:r>
      <w:r>
        <w:t xml:space="preserve">and they are reminded to release the ball within the orange square. If</w:t>
      </w:r>
      <w:r>
        <w:t xml:space="preserve"> </w:t>
      </w:r>
      <w:r>
        <w:t xml:space="preserve">the ball lands on the target, feedback is presented in green text,</w:t>
      </w:r>
      <w:r>
        <w:t xml:space="preserve"> </w:t>
      </w:r>
      <w:r>
        <w:t xml:space="preserve">confirming that the target was hit, and presenting additional feedback</w:t>
      </w:r>
      <w:r>
        <w:t xml:space="preserve"> </w:t>
      </w:r>
      <w:r>
        <w:t xml:space="preserve">on how many units away the ball was from the exact center of the target.</w:t>
      </w:r>
    </w:p>
    <w:p>
      <w:pPr>
        <w:pStyle w:val="BodyText"/>
      </w:pPr>
      <w:hyperlink r:id="rId43">
        <w:r>
          <w:rPr>
            <w:rStyle w:val="Hyperlink"/>
          </w:rPr>
          <w:t xml:space="preserve">Link to abbrevaited example of</w:t>
        </w:r>
        <w:r>
          <w:rPr>
            <w:rStyle w:val="Hyperlink"/>
          </w:rPr>
          <w:t xml:space="preserve"> </w:t>
        </w:r>
        <w:r>
          <w:rPr>
            <w:rStyle w:val="Hyperlink"/>
          </w:rPr>
          <w:t xml:space="preserve">task</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7" w:name="fig-igasTask"/>
          <w:p>
            <w:pPr>
              <w:pStyle w:val="Compact"/>
              <w:jc w:val="center"/>
            </w:pPr>
            <w:r>
              <w:drawing>
                <wp:inline>
                  <wp:extent cx="5334000" cy="2233897"/>
                  <wp:effectExtent b="0" l="0" r="0" t="0"/>
                  <wp:docPr descr="" title="" id="45" name="Picture"/>
                  <a:graphic>
                    <a:graphicData uri="http://schemas.openxmlformats.org/drawingml/2006/picture">
                      <pic:pic>
                        <pic:nvPicPr>
                          <pic:cNvPr descr="Assets/methodsFig1.png" id="46" name="Picture"/>
                          <pic:cNvPicPr>
                            <a:picLocks noChangeArrowheads="1" noChangeAspect="1"/>
                          </pic:cNvPicPr>
                        </pic:nvPicPr>
                        <pic:blipFill>
                          <a:blip r:embed="rId44"/>
                          <a:stretch>
                            <a:fillRect/>
                          </a:stretch>
                        </pic:blipFill>
                        <pic:spPr bwMode="auto">
                          <a:xfrm>
                            <a:off x="0" y="0"/>
                            <a:ext cx="5334000" cy="22338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stimuli of the task consisted of a blue ball, which the participants would launch at the green target, while avoiding the red barrier. On each trial, the ball would appear in the center of the orange square, with the position of the orange square varying between experimental conditions. Participants were constrained to release the ball within the square</w:t>
            </w:r>
          </w:p>
          <w:bookmarkEnd w:id="47"/>
        </w:tc>
      </w:tr>
    </w:tbl>
    <w:bookmarkEnd w:id="48"/>
    <w:bookmarkEnd w:id="49"/>
    <w:bookmarkStart w:id="53" w:name="results"/>
    <w:p>
      <w:pPr>
        <w:pStyle w:val="Heading3"/>
      </w:pPr>
      <w:r>
        <w:t xml:space="preserve">Results</w:t>
      </w:r>
    </w:p>
    <w:bookmarkStart w:id="50" w:name="data-processing-and-statistical-packages"/>
    <w:p>
      <w:pPr>
        <w:pStyle w:val="Heading4"/>
      </w:pPr>
      <w:r>
        <w:t xml:space="preserve">Data Processing and Statistical Packages</w:t>
      </w:r>
    </w:p>
    <w:p>
      <w:pPr>
        <w:pStyle w:val="FirstParagraph"/>
      </w:pPr>
      <w:r>
        <w:t xml:space="preserve">To prepare the data, we first removed trials that were not easily</w:t>
      </w:r>
      <w:r>
        <w:t xml:space="preserve"> </w:t>
      </w:r>
      <w:r>
        <w:t xml:space="preserve">interpretable as performance indicators in our task. Removed trials</w:t>
      </w:r>
      <w:r>
        <w:t xml:space="preserve"> </w:t>
      </w:r>
      <w:r>
        <w:t xml:space="preserve">included: 1) those in which participants dragged the ball outside of the</w:t>
      </w:r>
      <w:r>
        <w:t xml:space="preserve"> </w:t>
      </w:r>
      <w:r>
        <w:t xml:space="preserve">orange starting box without releasing it, 2) trials in which</w:t>
      </w:r>
      <w:r>
        <w:t xml:space="preserve"> </w:t>
      </w:r>
      <w:r>
        <w:t xml:space="preserve">participants clicked on the ball, and then immediately released it,</w:t>
      </w:r>
      <w:r>
        <w:t xml:space="preserve"> </w:t>
      </w:r>
      <w:r>
        <w:t xml:space="preserve">causing the ball to drop straight down, 3) outlier trials in which the</w:t>
      </w:r>
      <w:r>
        <w:t xml:space="preserve"> </w:t>
      </w:r>
      <w:r>
        <w:t xml:space="preserve">ball was thrown more than 2.5 standard deviations further than the</w:t>
      </w:r>
      <w:r>
        <w:t xml:space="preserve"> </w:t>
      </w:r>
      <w:r>
        <w:t xml:space="preserve">average throw (calculated separately for each throwing position), and 4)</w:t>
      </w:r>
      <w:r>
        <w:t xml:space="preserve"> </w:t>
      </w:r>
      <w:r>
        <w:t xml:space="preserve">trials in which the ball struck the barrier. The primary measure of</w:t>
      </w:r>
      <w:r>
        <w:t xml:space="preserve"> </w:t>
      </w:r>
      <w:r>
        <w:t xml:space="preserve">performance used in all analyses was the absolute distance away from the</w:t>
      </w:r>
      <w:r>
        <w:t xml:space="preserve"> </w:t>
      </w:r>
      <w:r>
        <w:t xml:space="preserve">center of the target. The absolute distance was calculated on every</w:t>
      </w:r>
      <w:r>
        <w:t xml:space="preserve"> </w:t>
      </w:r>
      <w:r>
        <w:t xml:space="preserve">trial, and then averaged within each subject to yield a single</w:t>
      </w:r>
      <w:r>
        <w:t xml:space="preserve"> </w:t>
      </w:r>
      <w:r>
        <w:t xml:space="preserve">performance score, for each position. A consistent pattern across</w:t>
      </w:r>
      <w:r>
        <w:t xml:space="preserve"> </w:t>
      </w:r>
      <w:r>
        <w:t xml:space="preserve">training and testing phases in both experiments was for participants to</w:t>
      </w:r>
      <w:r>
        <w:t xml:space="preserve"> </w:t>
      </w:r>
      <w:r>
        <w:t xml:space="preserve">perform worse from throwing positions further away from the target – a</w:t>
      </w:r>
      <w:r>
        <w:t xml:space="preserve"> </w:t>
      </w:r>
      <w:r>
        <w:t xml:space="preserve">pattern which we refer to as the difficulty of the positions. However,</w:t>
      </w:r>
      <w:r>
        <w:t xml:space="preserve"> </w:t>
      </w:r>
      <w:r>
        <w:t xml:space="preserve">there were no interactions between throwing position and training</w:t>
      </w:r>
      <w:r>
        <w:t xml:space="preserve"> </w:t>
      </w:r>
      <w:r>
        <w:t xml:space="preserve">conditions, allowing us to collapse across positions in cases where</w:t>
      </w:r>
      <w:r>
        <w:t xml:space="preserve"> </w:t>
      </w:r>
      <w:r>
        <w:t xml:space="preserve">contrasts for specific positions were not of interest. All data</w:t>
      </w:r>
      <w:r>
        <w:t xml:space="preserve"> </w:t>
      </w:r>
      <w:r>
        <w:t xml:space="preserve">processing and statistical analyses were performed in R version 4.03 (R</w:t>
      </w:r>
      <w:r>
        <w:t xml:space="preserve"> </w:t>
      </w:r>
      <w:r>
        <w:t xml:space="preserve">Core Team, 2020). ANOVAs for group comparisons were performed using the</w:t>
      </w:r>
      <w:r>
        <w:t xml:space="preserve"> </w:t>
      </w:r>
      <w:r>
        <w:t xml:space="preserve">rstatix package (Kassambara, 2021)****.</w:t>
      </w:r>
    </w:p>
    <w:bookmarkEnd w:id="50"/>
    <w:bookmarkStart w:id="52" w:name="training-phase"/>
    <w:p>
      <w:pPr>
        <w:pStyle w:val="Heading4"/>
      </w:pPr>
      <w:r>
        <w:t xml:space="preserve">Training Phase</w:t>
      </w:r>
    </w:p>
    <w:p>
      <w:pPr>
        <w:pStyle w:val="FirstParagraph"/>
      </w:pPr>
      <w:hyperlink w:anchor="fig-IGAS-Training1">
        <w:r>
          <w:rPr>
            <w:rStyle w:val="Hyperlink"/>
          </w:rPr>
          <w:t xml:space="preserve">Figure 3</w:t>
        </w:r>
      </w:hyperlink>
      <w:r>
        <w:t xml:space="preserve"> </w:t>
      </w:r>
      <w:r>
        <w:t xml:space="preserve">below shows aggregate training performance binned into three</w:t>
      </w:r>
      <w:r>
        <w:t xml:space="preserve"> </w:t>
      </w:r>
      <w:r>
        <w:t xml:space="preserve">stages representing the beginning, middle, and end of the training</w:t>
      </w:r>
      <w:r>
        <w:t xml:space="preserve"> </w:t>
      </w:r>
      <w:r>
        <w:t xml:space="preserve">phase. Because the two conditions trained from target distances that</w:t>
      </w:r>
      <w:r>
        <w:t xml:space="preserve"> </w:t>
      </w:r>
      <w:r>
        <w:t xml:space="preserve">were not equally difficult, it was not possible to directly compare</w:t>
      </w:r>
      <w:r>
        <w:t xml:space="preserve"> </w:t>
      </w:r>
      <w:r>
        <w:t xml:space="preserve">performance between conditions in the training phase. Our focus for the</w:t>
      </w:r>
      <w:r>
        <w:t xml:space="preserve"> </w:t>
      </w:r>
      <w:r>
        <w:t xml:space="preserve">training data analysis was instead to establish that participants did</w:t>
      </w:r>
      <w:r>
        <w:t xml:space="preserve"> </w:t>
      </w:r>
      <w:r>
        <w:t xml:space="preserve">improve their performance over the course of training, and to examine</w:t>
      </w:r>
      <w:r>
        <w:t xml:space="preserve"> </w:t>
      </w:r>
      <w:r>
        <w:t xml:space="preserve">whether there was any interaction between training stage and condition.</w:t>
      </w:r>
      <w:r>
        <w:t xml:space="preserve"> </w:t>
      </w:r>
      <w:r>
        <w:t xml:space="preserve">Descriptive statistics for the intermittent testing phase are provided</w:t>
      </w:r>
      <w:r>
        <w:t xml:space="preserve"> </w:t>
      </w:r>
      <w:r>
        <w:t xml:space="preserve">in the supplementary materials.</w:t>
      </w:r>
    </w:p>
    <w:p>
      <w:pPr>
        <w:pStyle w:val="BodyText"/>
      </w:pPr>
      <w:r>
        <w:t xml:space="preserve">We performed an ANOVA comparison with stage as a within-group factor and</w:t>
      </w:r>
      <w:r>
        <w:t xml:space="preserve"> </w:t>
      </w:r>
      <w:r>
        <w:t xml:space="preserve">condition as between-group factor. The analysis revealed a significant</w:t>
      </w:r>
      <w:r>
        <w:t xml:space="preserve"> </w:t>
      </w:r>
      <w:r>
        <w:t xml:space="preserve">effect of training stage F(2,142)=62.4, p&lt;.001,</w:t>
      </w:r>
      <w:r>
        <w:t xml:space="preserve"> </w:t>
      </w:r>
      <m:oMath>
        <m:sSubSup>
          <m:e>
            <m:r>
              <m:t>η</m:t>
            </m:r>
          </m:e>
          <m:sub>
            <m:r>
              <m:t>G</m:t>
            </m:r>
          </m:sub>
          <m:sup>
            <m:r>
              <m:t>2</m:t>
            </m:r>
          </m:sup>
        </m:sSubSup>
      </m:oMath>
      <w:r>
        <w:t xml:space="preserve"> </w:t>
      </w:r>
      <w:r>
        <w:t xml:space="preserve">= .17,</w:t>
      </w:r>
      <w:r>
        <w:t xml:space="preserve"> </w:t>
      </w:r>
      <w:r>
        <w:t xml:space="preserve">such that performance improved over the course of training There was no</w:t>
      </w:r>
      <w:r>
        <w:t xml:space="preserve"> </w:t>
      </w:r>
      <w:r>
        <w:t xml:space="preserve">significant effect of condition F(1,71)=1.42, p=.24,</w:t>
      </w:r>
      <w:r>
        <w:t xml:space="preserve"> </w:t>
      </w:r>
      <m:oMath>
        <m:sSubSup>
          <m:e>
            <m:r>
              <m:t>η</m:t>
            </m:r>
          </m:e>
          <m:sub>
            <m:r>
              <m:t>G</m:t>
            </m:r>
          </m:sub>
          <m:sup>
            <m:r>
              <m:t>2</m:t>
            </m:r>
          </m:sup>
        </m:sSubSup>
      </m:oMath>
      <w:r>
        <w:t xml:space="preserve"> </w:t>
      </w:r>
      <w:r>
        <w:t xml:space="preserve">= .02,</w:t>
      </w:r>
      <w:r>
        <w:t xml:space="preserve"> </w:t>
      </w:r>
      <w:r>
        <w:t xml:space="preserve">and no significant interaction between condition and training stage,</w:t>
      </w:r>
      <w:r>
        <w:t xml:space="preserve"> </w:t>
      </w:r>
      <w:r>
        <w:t xml:space="preserve">F(2,142)=.10, p=.91,</w:t>
      </w:r>
      <w:r>
        <w:t xml:space="preserve"> </w:t>
      </w:r>
      <m:oMath>
        <m:sSubSup>
          <m:e>
            <m:r>
              <m:t>η</m:t>
            </m:r>
          </m:e>
          <m:sub>
            <m:r>
              <m:t>G</m:t>
            </m:r>
          </m:sub>
          <m:sup>
            <m:r>
              <m:t>2</m:t>
            </m:r>
          </m:sup>
        </m:sSubSup>
      </m:oMath>
      <w:r>
        <w:t xml:space="preserve"> </w:t>
      </w:r>
      <w:r>
        <w:t xml:space="preserve">&lt; .01.</w:t>
      </w:r>
    </w:p>
    <w:tbl>
      <w:tblPr>
        <w:tblStyle w:val="Table"/>
        <w:tblW w:type="pct" w:w="5000"/>
        <w:tblLook w:firstRow="0" w:lastRow="0" w:firstColumn="0" w:lastColumn="0" w:noHBand="0" w:noVBand="0" w:val="0000"/>
        <w:jc w:val="start"/>
        <w:tblLayout w:type="fixed"/>
      </w:tblPr>
      <w:tblGrid>
        <w:gridCol w:w="7920"/>
      </w:tblGrid>
      <w:tr>
        <w:tc>
          <w:tcPr/>
          <w:bookmarkStart w:id="51" w:name="fig-IGAS-Training1"/>
          <w:p>
            <w:pPr>
              <w:pStyle w:val="Compact"/>
              <w:jc w:val="center"/>
            </w:pPr>
          </w:p>
          <w:p>
            <w:pPr>
              <w:jc w:val="center"/>
            </w:pPr>
            <w:pPr>
              <w:jc w:val="start"/>
              <w:spacing w:before="200"/>
              <w:pStyle w:val="ImageCaption"/>
            </w:pPr>
            <w:r>
              <w:t xml:space="preserve">Figure 3: Training performance for varied and constant participants binned into three stages. Shorter bars indicate better performance (ball landing closer to the center of the target). Error bars indicate standard error of the mean.</w:t>
            </w:r>
          </w:p>
          <w:bookmarkEnd w:id="51"/>
        </w:tc>
      </w:tr>
    </w:tbl>
    <w:bookmarkEnd w:id="52"/>
    <w:bookmarkEnd w:id="53"/>
    <w:bookmarkStart w:id="56" w:name="testing-phase"/>
    <w:p>
      <w:pPr>
        <w:pStyle w:val="Heading3"/>
      </w:pPr>
      <w:r>
        <w:t xml:space="preserve">Testing Phase</w:t>
      </w:r>
    </w:p>
    <w:p>
      <w:pPr>
        <w:pStyle w:val="FirstParagraph"/>
      </w:pPr>
      <w:r>
        <w:t xml:space="preserve">In Experiment 1, a single constant-trained group was compared against a</w:t>
      </w:r>
      <w:r>
        <w:t xml:space="preserve"> </w:t>
      </w:r>
      <w:r>
        <w:t xml:space="preserve">single varied-trained group. At the transfer phase, all participants</w:t>
      </w:r>
      <w:r>
        <w:t xml:space="preserve"> </w:t>
      </w:r>
      <w:r>
        <w:t xml:space="preserve">were tested from 3 positions: 1) the positions(s) from their own</w:t>
      </w:r>
      <w:r>
        <w:t xml:space="preserve"> </w:t>
      </w:r>
      <w:r>
        <w:t xml:space="preserve">training, 2) the training position(s) of the other group, and 3) a</w:t>
      </w:r>
      <w:r>
        <w:t xml:space="preserve"> </w:t>
      </w:r>
      <w:r>
        <w:t xml:space="preserve">position novel to both groups. Overall, group performance was compared</w:t>
      </w:r>
      <w:r>
        <w:t xml:space="preserve"> </w:t>
      </w:r>
      <w:r>
        <w:t xml:space="preserve">with a mixed type III ANOVA, with condition (varied vs. constant) as a</w:t>
      </w:r>
      <w:r>
        <w:t xml:space="preserve"> </w:t>
      </w:r>
      <w:r>
        <w:t xml:space="preserve">between-subject factor and throwing location as a within-subject</w:t>
      </w:r>
      <w:r>
        <w:t xml:space="preserve"> </w:t>
      </w:r>
      <w:r>
        <w:t xml:space="preserve">variable. The effect of throwing position was strong, F(3,213) = 56.12,</w:t>
      </w:r>
      <w:r>
        <w:t xml:space="preserve"> </w:t>
      </w:r>
      <w:r>
        <w:t xml:space="preserve">p&lt;.001, η2G = .23. The effect of training condition was significant</w:t>
      </w:r>
      <w:r>
        <w:t xml:space="preserve"> </w:t>
      </w:r>
      <w:r>
        <w:t xml:space="preserve">F(1,71)=8.19, p&lt;.01, η2G = .07. There was no significant interaction</w:t>
      </w:r>
      <w:r>
        <w:t xml:space="preserve"> </w:t>
      </w:r>
      <w:r>
        <w:t xml:space="preserve">between group and position, F(3,213)=1.81, p=.15, η2G = .01.</w:t>
      </w:r>
    </w:p>
    <w:tbl>
      <w:tblPr>
        <w:tblStyle w:val="Table"/>
        <w:tblW w:type="pct" w:w="5000"/>
        <w:tblLook w:firstRow="0" w:lastRow="0" w:firstColumn="0" w:lastColumn="0" w:noHBand="0" w:noVBand="0" w:val="0000"/>
        <w:jc w:val="start"/>
        <w:tblLayout w:type="fixed"/>
      </w:tblPr>
      <w:tblGrid>
        <w:gridCol w:w="7920"/>
      </w:tblGrid>
      <w:tr>
        <w:tc>
          <w:tcPr/>
          <w:bookmarkStart w:id="54" w:name="fig-IGAS-Testing1"/>
          <w:p>
            <w:pPr>
              <w:pStyle w:val="Compact"/>
              <w:jc w:val="center"/>
            </w:pPr>
          </w:p>
          <w:p>
            <w:pPr>
              <w:jc w:val="center"/>
            </w:pPr>
            <w:pPr>
              <w:jc w:val="start"/>
              <w:spacing w:before="200"/>
              <w:pStyle w:val="ImageCaption"/>
            </w:pPr>
            <w:r>
              <w:t xml:space="preserve">Figure 4: Testing performance for each of the 4 testing positions, compared between training conditions. Positions 610 and 910 were trained on by the varied group, and novel for the constant group. Position 760 was trained on by the constant group, and novel for the varied group. Position 835 was novel for both groups. Shorter bars are indicative of better performance (the ball landing closer to the center of the target). Error bars indicate standard error of the mean.</w:t>
            </w:r>
          </w:p>
          <w:bookmarkEnd w:id="54"/>
        </w:tc>
      </w:tr>
    </w:tbl>
    <w:p>
      <w:pPr>
        <w:pStyle w:val="BodyText"/>
      </w:pPr>
      <w:r>
        <w:br/>
      </w:r>
      <w:r>
        <w:br/>
      </w:r>
    </w:p>
    <w:bookmarkStart w:id="55" w:name="tbl-IGAS-Table1"/>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Position</w:t>
            </w:r>
          </w:p>
        </w:tc>
        <w:tc>
          <w:tcPr/>
          <w:p>
            <w:pPr>
              <w:pStyle w:val="Compact"/>
              <w:jc w:val="left"/>
            </w:pPr>
            <w:r>
              <w:t xml:space="preserve">Constant</w:t>
            </w:r>
          </w:p>
        </w:tc>
        <w:tc>
          <w:tcPr/>
          <w:p>
            <w:pPr>
              <w:pStyle w:val="Compact"/>
              <w:jc w:val="left"/>
            </w:pPr>
            <w:r>
              <w:t xml:space="preserve">Varied</w:t>
            </w:r>
          </w:p>
        </w:tc>
      </w:tr>
      <w:tr>
        <w:tc>
          <w:tcPr/>
          <w:p>
            <w:pPr>
              <w:pStyle w:val="Compact"/>
              <w:jc w:val="left"/>
            </w:pPr>
            <w:r>
              <w:t xml:space="preserve">610</w:t>
            </w:r>
          </w:p>
        </w:tc>
        <w:tc>
          <w:tcPr/>
          <w:p>
            <w:pPr>
              <w:pStyle w:val="Compact"/>
              <w:jc w:val="left"/>
            </w:pPr>
            <w:r>
              <w:t xml:space="preserve">132.48(50.85)</w:t>
            </w:r>
          </w:p>
        </w:tc>
        <w:tc>
          <w:tcPr/>
          <w:p>
            <w:pPr>
              <w:pStyle w:val="Compact"/>
              <w:jc w:val="left"/>
            </w:pPr>
            <w:r>
              <w:t xml:space="preserve">104.2(38.92)</w:t>
            </w:r>
          </w:p>
        </w:tc>
      </w:tr>
      <w:tr>
        <w:tc>
          <w:tcPr/>
          <w:p>
            <w:pPr>
              <w:pStyle w:val="Compact"/>
              <w:jc w:val="left"/>
            </w:pPr>
            <w:r>
              <w:t xml:space="preserve">760</w:t>
            </w:r>
          </w:p>
        </w:tc>
        <w:tc>
          <w:tcPr/>
          <w:p>
            <w:pPr>
              <w:pStyle w:val="Compact"/>
              <w:jc w:val="left"/>
            </w:pPr>
            <w:r>
              <w:t xml:space="preserve">207.26(89.19)</w:t>
            </w:r>
          </w:p>
        </w:tc>
        <w:tc>
          <w:tcPr/>
          <w:p>
            <w:pPr>
              <w:pStyle w:val="Compact"/>
              <w:jc w:val="left"/>
            </w:pPr>
            <w:r>
              <w:t xml:space="preserve">167.12(72.29)</w:t>
            </w:r>
          </w:p>
        </w:tc>
      </w:tr>
      <w:tr>
        <w:tc>
          <w:tcPr/>
          <w:p>
            <w:pPr>
              <w:pStyle w:val="Compact"/>
              <w:jc w:val="left"/>
            </w:pPr>
            <w:r>
              <w:t xml:space="preserve">835</w:t>
            </w:r>
          </w:p>
        </w:tc>
        <w:tc>
          <w:tcPr/>
          <w:p>
            <w:pPr>
              <w:pStyle w:val="Compact"/>
              <w:jc w:val="left"/>
            </w:pPr>
            <w:r>
              <w:t xml:space="preserve">249.13(105.92)</w:t>
            </w:r>
          </w:p>
        </w:tc>
        <w:tc>
          <w:tcPr/>
          <w:p>
            <w:pPr>
              <w:pStyle w:val="Compact"/>
              <w:jc w:val="left"/>
            </w:pPr>
            <w:r>
              <w:t xml:space="preserve">197.22(109.71)</w:t>
            </w:r>
          </w:p>
        </w:tc>
      </w:tr>
      <w:tr>
        <w:tc>
          <w:tcPr/>
          <w:p>
            <w:pPr>
              <w:pStyle w:val="Compact"/>
              <w:jc w:val="left"/>
            </w:pPr>
            <w:r>
              <w:t xml:space="preserve">910</w:t>
            </w:r>
          </w:p>
        </w:tc>
        <w:tc>
          <w:tcPr/>
          <w:p>
            <w:pPr>
              <w:pStyle w:val="Compact"/>
              <w:jc w:val="left"/>
            </w:pPr>
            <w:r>
              <w:t xml:space="preserve">289.36(122.48)</w:t>
            </w:r>
          </w:p>
        </w:tc>
        <w:tc>
          <w:tcPr/>
          <w:p>
            <w:pPr>
              <w:pStyle w:val="Compact"/>
              <w:jc w:val="left"/>
            </w:pPr>
            <w:r>
              <w:t xml:space="preserve">212.86(113.93)</w:t>
            </w:r>
          </w:p>
        </w:tc>
      </w:tr>
    </w:tbl>
    <w:bookmarkEnd w:id="55"/>
    <w:bookmarkEnd w:id="56"/>
    <w:bookmarkStart w:id="57" w:name="discussion"/>
    <w:p>
      <w:pPr>
        <w:pStyle w:val="Heading3"/>
      </w:pPr>
      <w:r>
        <w:t xml:space="preserve">Discussion</w:t>
      </w:r>
    </w:p>
    <w:p>
      <w:pPr>
        <w:pStyle w:val="FirstParagraph"/>
      </w:pPr>
      <w:r>
        <w:t xml:space="preserve">In Experiment 1, we found that varied training resulted in superior</w:t>
      </w:r>
      <w:r>
        <w:t xml:space="preserve"> </w:t>
      </w:r>
      <w:r>
        <w:t xml:space="preserve">testing performance than constant training, from both a position novel</w:t>
      </w:r>
      <w:r>
        <w:t xml:space="preserve"> </w:t>
      </w:r>
      <w:r>
        <w:t xml:space="preserve">to both groups, and from the position at which the constant group was</w:t>
      </w:r>
      <w:r>
        <w:t xml:space="preserve"> </w:t>
      </w:r>
      <w:r>
        <w:t xml:space="preserve">trained, which was novel to the varied condition. The superiority of</w:t>
      </w:r>
      <w:r>
        <w:t xml:space="preserve"> </w:t>
      </w:r>
      <w:r>
        <w:t xml:space="preserve">varied training over constant training even at the constant training</w:t>
      </w:r>
      <w:r>
        <w:t xml:space="preserve"> </w:t>
      </w:r>
      <w:r>
        <w:t xml:space="preserve">position is of particular note, given that testing at this position</w:t>
      </w:r>
      <w:r>
        <w:t xml:space="preserve"> </w:t>
      </w:r>
      <w:r>
        <w:t xml:space="preserve">should have been highly similar for participants in the constant</w:t>
      </w:r>
      <w:r>
        <w:t xml:space="preserve"> </w:t>
      </w:r>
      <w:r>
        <w:t xml:space="preserve">condition. It should also be noted, though, that testing at the constant</w:t>
      </w:r>
      <w:r>
        <w:t xml:space="preserve"> </w:t>
      </w:r>
      <w:r>
        <w:t xml:space="preserve">trained position is not exactly identical to training from that</w:t>
      </w:r>
      <w:r>
        <w:t xml:space="preserve"> </w:t>
      </w:r>
      <w:r>
        <w:t xml:space="preserve">position, given that the context of testing is different in several ways</w:t>
      </w:r>
      <w:r>
        <w:t xml:space="preserve"> </w:t>
      </w:r>
      <w:r>
        <w:t xml:space="preserve">from that of training, such as the testing trials from the different</w:t>
      </w:r>
      <w:r>
        <w:t xml:space="preserve"> </w:t>
      </w:r>
      <w:r>
        <w:t xml:space="preserve">positions being intermixed, as well as a simple change in context as a</w:t>
      </w:r>
      <w:r>
        <w:t xml:space="preserve"> </w:t>
      </w:r>
      <w:r>
        <w:t xml:space="preserve">function of time. Such contextual differences will be further considered</w:t>
      </w:r>
      <w:r>
        <w:t xml:space="preserve"> </w:t>
      </w:r>
      <w:r>
        <w:t xml:space="preserve">in the General Discussion.</w:t>
      </w:r>
    </w:p>
    <w:p>
      <w:pPr>
        <w:pStyle w:val="BodyText"/>
      </w:pPr>
      <w:r>
        <w:t xml:space="preserve">In addition to the variation of throwing position during training, the</w:t>
      </w:r>
      <w:r>
        <w:t xml:space="preserve"> </w:t>
      </w:r>
      <w:r>
        <w:t xml:space="preserve">participants in the varied condition of Experiment 1 also received</w:t>
      </w:r>
      <w:r>
        <w:t xml:space="preserve"> </w:t>
      </w:r>
      <w:r>
        <w:t xml:space="preserve">training practice from the closest/easiest position, as well as from the</w:t>
      </w:r>
      <w:r>
        <w:t xml:space="preserve"> </w:t>
      </w:r>
      <w:r>
        <w:t xml:space="preserve">furthest/most difficult position that would later be encountered by all</w:t>
      </w:r>
      <w:r>
        <w:t xml:space="preserve"> </w:t>
      </w:r>
      <w:r>
        <w:t xml:space="preserve">participants during testing. The varied condition also had the potential</w:t>
      </w:r>
      <w:r>
        <w:t xml:space="preserve"> </w:t>
      </w:r>
      <w:r>
        <w:t xml:space="preserve">advantage of interpolating both of the novel positions from which they</w:t>
      </w:r>
      <w:r>
        <w:t xml:space="preserve"> </w:t>
      </w:r>
      <w:r>
        <w:t xml:space="preserve">would later be tested. Experiment 2 thus sought to address these issues</w:t>
      </w:r>
      <w:r>
        <w:t xml:space="preserve"> </w:t>
      </w:r>
      <w:r>
        <w:t xml:space="preserve">by comparing a varied condition to multiple constant conditions.</w:t>
      </w:r>
    </w:p>
    <w:bookmarkEnd w:id="57"/>
    <w:bookmarkEnd w:id="58"/>
    <w:bookmarkStart w:id="59" w:name="experiment-2"/>
    <w:p>
      <w:pPr>
        <w:pStyle w:val="Heading2"/>
      </w:pPr>
      <w:r>
        <w:t xml:space="preserve">Experiment 2</w:t>
      </w:r>
    </w:p>
    <w:p>
      <w:pPr>
        <w:pStyle w:val="FirstParagraph"/>
      </w:pPr>
      <w:r>
        <w:t xml:space="preserve">In Experiment 2, we sought to replicate our findings from Experiment 1</w:t>
      </w:r>
      <w:r>
        <w:t xml:space="preserve"> </w:t>
      </w:r>
      <w:r>
        <w:t xml:space="preserve">with a new sample of participants, while also addressing the possibility</w:t>
      </w:r>
      <w:r>
        <w:t xml:space="preserve"> </w:t>
      </w:r>
      <w:r>
        <w:t xml:space="preserve">of the pattern of results in Experiment 1 being explained by some</w:t>
      </w:r>
      <w:r>
        <w:t xml:space="preserve"> </w:t>
      </w:r>
      <w:r>
        <w:t xml:space="preserve">idiosyncrasy of the particular training location of the constant group</w:t>
      </w:r>
      <w:r>
        <w:t xml:space="preserve"> </w:t>
      </w:r>
      <w:r>
        <w:t xml:space="preserve">relative to the varied group. To this end, Experiment 2 employed the</w:t>
      </w:r>
      <w:r>
        <w:t xml:space="preserve"> </w:t>
      </w:r>
      <w:r>
        <w:t xml:space="preserve">same basic procedure as Experiment 1, but was designed with six separate</w:t>
      </w:r>
      <w:r>
        <w:t xml:space="preserve"> </w:t>
      </w:r>
      <w:r>
        <w:t xml:space="preserve">constant groups each trained from one of six different locations (400,</w:t>
      </w:r>
      <w:r>
        <w:t xml:space="preserve"> </w:t>
      </w:r>
      <w:r>
        <w:t xml:space="preserve">500, 625, 675, 800, or 900), and a varied group trained from two</w:t>
      </w:r>
      <w:r>
        <w:t xml:space="preserve"> </w:t>
      </w:r>
      <w:r>
        <w:t xml:space="preserve">locations (500 and 800). Participants in all seven groups were then</w:t>
      </w:r>
      <w:r>
        <w:t xml:space="preserve"> </w:t>
      </w:r>
      <w:r>
        <w:t xml:space="preserve">tested from each of the 6 unique positions.</w:t>
      </w:r>
    </w:p>
    <w:bookmarkEnd w:id="59"/>
    <w:bookmarkStart w:id="62" w:name="methods-1"/>
    <w:p>
      <w:pPr>
        <w:pStyle w:val="Heading2"/>
      </w:pPr>
      <w:r>
        <w:t xml:space="preserve">Methods</w:t>
      </w:r>
    </w:p>
    <w:bookmarkStart w:id="60" w:name="participants-1"/>
    <w:p>
      <w:pPr>
        <w:pStyle w:val="Heading3"/>
      </w:pPr>
      <w:r>
        <w:t xml:space="preserve">Participants</w:t>
      </w:r>
    </w:p>
    <w:p>
      <w:pPr>
        <w:pStyle w:val="FirstParagraph"/>
      </w:pPr>
      <w:r>
        <w:t xml:space="preserve">A total of 306 Indiana University psychology students participated in</w:t>
      </w:r>
      <w:r>
        <w:t xml:space="preserve"> </w:t>
      </w:r>
      <w:r>
        <w:t xml:space="preserve">Experiment 2, which was also conducted online. As was the case in</w:t>
      </w:r>
      <w:r>
        <w:t xml:space="preserve"> </w:t>
      </w:r>
      <w:r>
        <w:t xml:space="preserve">experiment 1, the undergraduate population from which we recruited</w:t>
      </w:r>
      <w:r>
        <w:t xml:space="preserve"> </w:t>
      </w:r>
      <w:r>
        <w:t xml:space="preserve">participants was 63% female and primarily composed of 18–22-year-old</w:t>
      </w:r>
      <w:r>
        <w:t xml:space="preserve"> </w:t>
      </w:r>
      <w:r>
        <w:t xml:space="preserve">individuals. Using the same procedure as experiment 1, we excluded 98</w:t>
      </w:r>
      <w:r>
        <w:t xml:space="preserve"> </w:t>
      </w:r>
      <w:r>
        <w:t xml:space="preserve">participants for exceptionally poor performance at one of the dependent</w:t>
      </w:r>
      <w:r>
        <w:t xml:space="preserve"> </w:t>
      </w:r>
      <w:r>
        <w:t xml:space="preserve">measures of the task, or for displaying a pattern of responses</w:t>
      </w:r>
      <w:r>
        <w:t xml:space="preserve"> </w:t>
      </w:r>
      <w:r>
        <w:t xml:space="preserve">indicative of a lack of engagement with the task. A total of 208</w:t>
      </w:r>
      <w:r>
        <w:t xml:space="preserve"> </w:t>
      </w:r>
      <w:r>
        <w:t xml:space="preserve">participants were included in the final analyses with 31 in the varied</w:t>
      </w:r>
      <w:r>
        <w:t xml:space="preserve"> </w:t>
      </w:r>
      <w:r>
        <w:t xml:space="preserve">group and 32, 28, 37, 25, 29, 26 participants in the constant groups</w:t>
      </w:r>
      <w:r>
        <w:t xml:space="preserve"> </w:t>
      </w:r>
      <w:r>
        <w:t xml:space="preserve">training from location 400, 500, 625, 675, 800, and 900, respectively.</w:t>
      </w:r>
      <w:r>
        <w:t xml:space="preserve"> </w:t>
      </w:r>
      <w:r>
        <w:t xml:space="preserve">All participants were compensated with course credit.</w:t>
      </w:r>
    </w:p>
    <w:bookmarkEnd w:id="60"/>
    <w:bookmarkStart w:id="61" w:name="task-and-procedure"/>
    <w:p>
      <w:pPr>
        <w:pStyle w:val="Heading3"/>
      </w:pPr>
      <w:r>
        <w:t xml:space="preserve">Task and Procedure</w:t>
      </w:r>
    </w:p>
    <w:p>
      <w:pPr>
        <w:pStyle w:val="FirstParagraph"/>
      </w:pPr>
      <w:r>
        <w:t xml:space="preserve">The task of Experiment 2 was identical to that of Experiment 1, in all</w:t>
      </w:r>
      <w:r>
        <w:t xml:space="preserve"> </w:t>
      </w:r>
      <w:r>
        <w:t xml:space="preserve">but some minor adjustments to the height of the barrier, and the</w:t>
      </w:r>
      <w:r>
        <w:t xml:space="preserve"> </w:t>
      </w:r>
      <w:r>
        <w:t xml:space="preserve">relative distance between the barrier and the target. Additionally, the</w:t>
      </w:r>
      <w:r>
        <w:t xml:space="preserve"> </w:t>
      </w:r>
      <w:r>
        <w:t xml:space="preserve">intermittent testing trials featured in experiment 1 were not utilized</w:t>
      </w:r>
      <w:r>
        <w:t xml:space="preserve"> </w:t>
      </w:r>
      <w:r>
        <w:t xml:space="preserve">in experiment 2, and all training and testing trials were presented with</w:t>
      </w:r>
      <w:r>
        <w:t xml:space="preserve"> </w:t>
      </w:r>
      <w:r>
        <w:t xml:space="preserve">feedback. An abbreviated demo of the task used for Experiment 2 can be</w:t>
      </w:r>
      <w:r>
        <w:t xml:space="preserve"> </w:t>
      </w:r>
      <w:r>
        <w:t xml:space="preserve">found at (https://pcl.sitehost.iu.edu/tg/demos/igas_expt2_demo.html).</w:t>
      </w:r>
    </w:p>
    <w:p>
      <w:pPr>
        <w:pStyle w:val="BodyText"/>
      </w:pPr>
      <w:r>
        <w:t xml:space="preserve">The procedure for Experiment 2 was also quite similar to experiment 1.</w:t>
      </w:r>
      <w:r>
        <w:t xml:space="preserve"> </w:t>
      </w:r>
      <w:r>
        <w:t xml:space="preserve">Participants completed 140 training trials, all of which were from the</w:t>
      </w:r>
      <w:r>
        <w:t xml:space="preserve"> </w:t>
      </w:r>
      <w:r>
        <w:t xml:space="preserve">same position for the constant groups and split evenly (70 trials each -</w:t>
      </w:r>
      <w:r>
        <w:t xml:space="preserve"> </w:t>
      </w:r>
      <w:r>
        <w:t xml:space="preserve">randomized) for the varied group. In the testing phase, participants</w:t>
      </w:r>
      <w:r>
        <w:t xml:space="preserve"> </w:t>
      </w:r>
      <w:r>
        <w:t xml:space="preserve">completed 30 trials from each of the six locations that had been used</w:t>
      </w:r>
      <w:r>
        <w:t xml:space="preserve"> </w:t>
      </w:r>
      <w:r>
        <w:t xml:space="preserve">separately across each of the constant groups during training. Each of</w:t>
      </w:r>
      <w:r>
        <w:t xml:space="preserve"> </w:t>
      </w:r>
      <w:r>
        <w:t xml:space="preserve">the constant groups thus experience one trained location and five novel</w:t>
      </w:r>
      <w:r>
        <w:t xml:space="preserve"> </w:t>
      </w:r>
      <w:r>
        <w:t xml:space="preserve">throwing locations in the testing phase, while the varied group</w:t>
      </w:r>
      <w:r>
        <w:t xml:space="preserve"> </w:t>
      </w:r>
      <w:r>
        <w:t xml:space="preserve">experiences 2 previously trained, and 4 novel locations.</w:t>
      </w:r>
    </w:p>
    <w:bookmarkEnd w:id="61"/>
    <w:bookmarkEnd w:id="62"/>
    <w:bookmarkStart w:id="78" w:name="results-1"/>
    <w:p>
      <w:pPr>
        <w:pStyle w:val="Heading2"/>
      </w:pPr>
      <w:r>
        <w:t xml:space="preserve">Results</w:t>
      </w:r>
    </w:p>
    <w:bookmarkStart w:id="63" w:name="X2942a362b149922517ac762e7f9af662983e09d"/>
    <w:p>
      <w:pPr>
        <w:pStyle w:val="Heading4"/>
      </w:pPr>
      <w:r>
        <w:t xml:space="preserve">Data Processing and Statistical Packages</w:t>
      </w:r>
    </w:p>
    <w:p>
      <w:pPr>
        <w:pStyle w:val="FirstParagraph"/>
      </w:pPr>
      <w:r>
        <w:t xml:space="preserve">After confirming that condition and throwing position did not have any</w:t>
      </w:r>
      <w:r>
        <w:t xml:space="preserve"> </w:t>
      </w:r>
      <w:r>
        <w:t xml:space="preserve">significant interactions, we standardized performance within each</w:t>
      </w:r>
      <w:r>
        <w:t xml:space="preserve"> </w:t>
      </w:r>
      <w:r>
        <w:t xml:space="preserve">position, and then average across position to yield a single performance</w:t>
      </w:r>
      <w:r>
        <w:t xml:space="preserve"> </w:t>
      </w:r>
      <w:r>
        <w:t xml:space="preserve">measure per participant. This standardization did not influence our</w:t>
      </w:r>
      <w:r>
        <w:t xml:space="preserve"> </w:t>
      </w:r>
      <w:r>
        <w:t xml:space="preserve">pattern of results. As in experiment 1, we performed type III ANOVA’s</w:t>
      </w:r>
      <w:r>
        <w:t xml:space="preserve"> </w:t>
      </w:r>
      <w:r>
        <w:t xml:space="preserve">due to our unbalanced design, however the pattern of results presented</w:t>
      </w:r>
      <w:r>
        <w:t xml:space="preserve"> </w:t>
      </w:r>
      <w:r>
        <w:t xml:space="preserve">below is not altered if type 1 or type III tests are used instead. The</w:t>
      </w:r>
      <w:r>
        <w:t xml:space="preserve"> </w:t>
      </w:r>
      <w:r>
        <w:t xml:space="preserve">statistical software for the primary analyses was the same as for</w:t>
      </w:r>
      <w:r>
        <w:t xml:space="preserve"> </w:t>
      </w:r>
      <w:r>
        <w:t xml:space="preserve">experiment 1. Individual learning rates in the testing phase, compared</w:t>
      </w:r>
      <w:r>
        <w:t xml:space="preserve"> </w:t>
      </w:r>
      <w:r>
        <w:t xml:space="preserve">between groups in the supplementary analyses, were fit using the TEfit</w:t>
      </w:r>
      <w:r>
        <w:t xml:space="preserve"> </w:t>
      </w:r>
      <w:r>
        <w:t xml:space="preserve">package in R</w:t>
      </w:r>
      <w:r>
        <w:t xml:space="preserve"> </w:t>
      </w:r>
      <w:r>
        <w:t xml:space="preserve">(</w:t>
      </w:r>
      <w:hyperlink w:anchor="Xb98d66b52f42a4fa5578a747eac67bd27c8590c">
        <w:r>
          <w:rPr>
            <w:rStyle w:val="Hyperlink"/>
          </w:rPr>
          <w:t xml:space="preserve">Cochrane, 2020</w:t>
        </w:r>
      </w:hyperlink>
      <w:r>
        <w:t xml:space="preserve">)</w:t>
      </w:r>
      <w:r>
        <w:t xml:space="preserve">.</w:t>
      </w:r>
    </w:p>
    <w:bookmarkEnd w:id="63"/>
    <w:bookmarkStart w:id="65" w:name="training-phase-1"/>
    <w:p>
      <w:pPr>
        <w:pStyle w:val="Heading4"/>
      </w:pPr>
      <w:r>
        <w:t xml:space="preserve">Training Phase</w:t>
      </w:r>
    </w:p>
    <w:p>
      <w:pPr>
        <w:pStyle w:val="FirstParagraph"/>
      </w:pPr>
      <w:r>
        <w:t xml:space="preserve">The different training conditions trained from positions that were not</w:t>
      </w:r>
      <w:r>
        <w:t xml:space="preserve"> </w:t>
      </w:r>
      <w:r>
        <w:t xml:space="preserve">equivalently difficult and are thus not easily amenable to comparison.</w:t>
      </w:r>
      <w:r>
        <w:t xml:space="preserve"> </w:t>
      </w:r>
      <w:r>
        <w:t xml:space="preserve">As previously stated, the primary interest of the training data is</w:t>
      </w:r>
      <w:r>
        <w:t xml:space="preserve"> </w:t>
      </w:r>
      <w:r>
        <w:t xml:space="preserve">confirmation that some learning did occur.</w:t>
      </w:r>
      <w:r>
        <w:t xml:space="preserve"> </w:t>
      </w:r>
      <w:hyperlink w:anchor="fig-e2train">
        <w:r>
          <w:rPr>
            <w:rStyle w:val="Hyperlink"/>
          </w:rPr>
          <w:t xml:space="preserve">Figure 5</w:t>
        </w:r>
      </w:hyperlink>
      <w:r>
        <w:t xml:space="preserve"> </w:t>
      </w:r>
      <w:r>
        <w:t xml:space="preserve">depicts the training</w:t>
      </w:r>
      <w:r>
        <w:t xml:space="preserve"> </w:t>
      </w:r>
      <w:r>
        <w:t xml:space="preserve">performance of the varied group alongside that of the aggregate of the</w:t>
      </w:r>
      <w:r>
        <w:t xml:space="preserve"> </w:t>
      </w:r>
      <w:r>
        <w:t xml:space="preserve">six constant groups (5a), and each of the 6 separate constant groups</w:t>
      </w:r>
      <w:r>
        <w:t xml:space="preserve"> </w:t>
      </w:r>
      <w:r>
        <w:t xml:space="preserve">(5b). An ANOVA comparison with training stage (beginning, middle, end)</w:t>
      </w:r>
      <w:r>
        <w:t xml:space="preserve"> </w:t>
      </w:r>
      <w:r>
        <w:t xml:space="preserve">as a within-group factor and group (the varied condition vs. the 6</w:t>
      </w:r>
      <w:r>
        <w:t xml:space="preserve"> </w:t>
      </w:r>
      <w:r>
        <w:t xml:space="preserve">constant conditions collapsed together) as a between-subject factor</w:t>
      </w:r>
      <w:r>
        <w:t xml:space="preserve"> </w:t>
      </w:r>
      <w:r>
        <w:t xml:space="preserve">revealed no significant effect of group on training performance,</w:t>
      </w:r>
      <w:r>
        <w:t xml:space="preserve"> </w:t>
      </w:r>
      <w:r>
        <w:t xml:space="preserve">F(1,206)=.55,p=.49,</w:t>
      </w:r>
      <w:r>
        <w:t xml:space="preserve"> </w:t>
      </w:r>
      <m:oMath>
        <m:sSubSup>
          <m:e>
            <m:r>
              <m:t>η</m:t>
            </m:r>
          </m:e>
          <m:sub>
            <m:r>
              <m:t>G</m:t>
            </m:r>
          </m:sub>
          <m:sup>
            <m:r>
              <m:t>2</m:t>
            </m:r>
          </m:sup>
        </m:sSubSup>
      </m:oMath>
      <w:r>
        <w:t xml:space="preserve"> </w:t>
      </w:r>
      <w:r>
        <w:t xml:space="preserve">&lt;.01, a significant effect of training</w:t>
      </w:r>
      <w:r>
        <w:t xml:space="preserve"> </w:t>
      </w:r>
      <w:r>
        <w:t xml:space="preserve">stage F(2,412)=77.91, p&lt;.001,</w:t>
      </w:r>
      <w:r>
        <w:t xml:space="preserve"> </w:t>
      </w:r>
      <m:oMath>
        <m:sSubSup>
          <m:e>
            <m:r>
              <m:t>η</m:t>
            </m:r>
          </m:e>
          <m:sub>
            <m:r>
              <m:t>G</m:t>
            </m:r>
          </m:sub>
          <m:sup>
            <m:r>
              <m:t>2</m:t>
            </m:r>
          </m:sup>
        </m:sSubSup>
      </m:oMath>
      <w:r>
        <w:t xml:space="preserve"> </w:t>
      </w:r>
      <w:r>
        <w:t xml:space="preserve">=.05, and no significant</w:t>
      </w:r>
      <w:r>
        <w:t xml:space="preserve"> </w:t>
      </w:r>
      <w:r>
        <w:t xml:space="preserve">interaction between group and training stage, F(2,412)=.489 p=.61,</w:t>
      </w:r>
      <w:r>
        <w:t xml:space="preserve"> </w:t>
      </w:r>
      <m:oMath>
        <m:sSubSup>
          <m:e>
            <m:r>
              <m:t>η</m:t>
            </m:r>
          </m:e>
          <m:sub>
            <m:r>
              <m:t>G</m:t>
            </m:r>
          </m:sub>
          <m:sup>
            <m:r>
              <m:t>2</m:t>
            </m:r>
          </m:sup>
        </m:sSubSup>
      </m:oMath>
      <w:r>
        <w:t xml:space="preserve"> </w:t>
      </w:r>
      <w:r>
        <w:t xml:space="preserve">&lt;.01. We also tested for a difference in training</w:t>
      </w:r>
      <w:r>
        <w:t xml:space="preserve"> </w:t>
      </w:r>
      <w:r>
        <w:t xml:space="preserve">performance between the varied group and the two constant groups that</w:t>
      </w:r>
      <w:r>
        <w:t xml:space="preserve"> </w:t>
      </w:r>
      <w:r>
        <w:t xml:space="preserve">trained matching throwing positions (i.e., the constant groups training</w:t>
      </w:r>
      <w:r>
        <w:t xml:space="preserve"> </w:t>
      </w:r>
      <w:r>
        <w:t xml:space="preserve">from position 500, and position 800). The results of our ANOVA on this</w:t>
      </w:r>
      <w:r>
        <w:t xml:space="preserve"> </w:t>
      </w:r>
      <w:r>
        <w:t xml:space="preserve">limited dataset mirrors that of the full-group analysis, with no</w:t>
      </w:r>
      <w:r>
        <w:t xml:space="preserve"> </w:t>
      </w:r>
      <w:r>
        <w:t xml:space="preserve">significant effect of group F(1,86)=.48, p=.49,</w:t>
      </w:r>
      <w:r>
        <w:t xml:space="preserve"> </w:t>
      </w:r>
      <m:oMath>
        <m:sSubSup>
          <m:e>
            <m:r>
              <m:t>η</m:t>
            </m:r>
          </m:e>
          <m:sub>
            <m:r>
              <m:t>G</m:t>
            </m:r>
          </m:sub>
          <m:sup>
            <m:r>
              <m:t>2</m:t>
            </m:r>
          </m:sup>
        </m:sSubSup>
      </m:oMath>
      <w:r>
        <w:t xml:space="preserve"> </w:t>
      </w:r>
      <w:r>
        <w:t xml:space="preserve">&lt;.01, a</w:t>
      </w:r>
      <w:r>
        <w:t xml:space="preserve"> </w:t>
      </w:r>
      <w:r>
        <w:t xml:space="preserve">significant effect of training stage F(2,172)=56.29, p&lt;.001,</w:t>
      </w:r>
      <w:r>
        <w:t xml:space="preserve"> </w:t>
      </w:r>
      <m:oMath>
        <m:sSubSup>
          <m:e>
            <m:r>
              <m:t>η</m:t>
            </m:r>
          </m:e>
          <m:sub>
            <m:r>
              <m:t>G</m:t>
            </m:r>
          </m:sub>
          <m:sup>
            <m:r>
              <m:t>2</m:t>
            </m:r>
          </m:sup>
        </m:sSubSup>
      </m:oMath>
      <w:r>
        <w:t xml:space="preserve"> </w:t>
      </w:r>
      <w:r>
        <w:t xml:space="preserve">=.11, and no significant interaction between group and</w:t>
      </w:r>
      <w:r>
        <w:t xml:space="preserve"> </w:t>
      </w:r>
      <w:r>
        <w:t xml:space="preserve">training stage, F(2,172)=.341 p=.71,</w:t>
      </w:r>
      <w:r>
        <w:t xml:space="preserve"> </w:t>
      </w:r>
      <m:oMath>
        <m:sSubSup>
          <m:e>
            <m:r>
              <m:t>η</m:t>
            </m:r>
          </m:e>
          <m:sub>
            <m:r>
              <m:t>G</m:t>
            </m:r>
          </m:sub>
          <m:sup>
            <m:r>
              <m:t>2</m:t>
            </m:r>
          </m:sup>
        </m:sSubSup>
      </m:oMath>
      <w:r>
        <w:t xml:space="preserve"> </w:t>
      </w:r>
      <w:r>
        <w:t xml:space="preserve">&lt;.01.</w:t>
      </w:r>
    </w:p>
    <w:tbl>
      <w:tblPr>
        <w:tblStyle w:val="Table"/>
        <w:tblW w:type="pct" w:w="5000"/>
        <w:tblLook w:firstRow="0" w:lastRow="0" w:firstColumn="0" w:lastColumn="0" w:noHBand="0" w:noVBand="0" w:val="0000"/>
        <w:jc w:val="start"/>
        <w:tblLayout w:type="fixed"/>
      </w:tblPr>
      <w:tblGrid>
        <w:gridCol w:w="7920"/>
      </w:tblGrid>
      <w:tr>
        <w:tc>
          <w:tcPr/>
          <w:bookmarkStart w:id="64" w:name="fig-e2train"/>
          <w:p>
            <w:pPr>
              <w:pStyle w:val="Compact"/>
              <w:jc w:val="center"/>
            </w:pPr>
          </w:p>
          <w:p>
            <w:pPr>
              <w:jc w:val="center"/>
            </w:pPr>
            <w:pPr>
              <w:jc w:val="start"/>
              <w:spacing w:before="200"/>
              <w:pStyle w:val="ImageCaption"/>
            </w:pPr>
            <w:r>
              <w:t xml:space="preserve">Figure 5: Training performance for the six constant conditions, and the varied condition, binned into three stages. On the left side, the six constant groups are averaged together, as are the two training positions for the varied group. On the right side, the six constant groups are shown separately, with each set of bars representing the beginning, middle, and end of training for a single constant group that trained from the position indicated on the x-axis. Figure 5b also shows training performance separately for both of the throwing locations trained by the varied group. Error bars indicate standard error of the mean.</w:t>
            </w:r>
          </w:p>
          <w:bookmarkEnd w:id="64"/>
        </w:tc>
      </w:tr>
    </w:tbl>
    <w:bookmarkEnd w:id="65"/>
    <w:bookmarkStart w:id="71" w:name="testing-phase-1"/>
    <w:p>
      <w:pPr>
        <w:pStyle w:val="Heading4"/>
      </w:pPr>
      <w:r>
        <w:t xml:space="preserve">Testing Phase</w:t>
      </w:r>
    </w:p>
    <w:p>
      <w:pPr>
        <w:pStyle w:val="FirstParagraph"/>
      </w:pPr>
      <w:r>
        <w:t xml:space="preserve">In Experiment 2, a single varied condition (trained from two positions,</w:t>
      </w:r>
      <w:r>
        <w:t xml:space="preserve"> </w:t>
      </w:r>
      <w:r>
        <w:t xml:space="preserve">500 and 800), was compared against six separate constant groups (trained</w:t>
      </w:r>
      <w:r>
        <w:t xml:space="preserve"> </w:t>
      </w:r>
      <w:r>
        <w:t xml:space="preserve">from a single position, 400, 500, 625, 675, 800 or 900). For the testing</w:t>
      </w:r>
      <w:r>
        <w:t xml:space="preserve"> </w:t>
      </w:r>
      <w:r>
        <w:t xml:space="preserve">phase, all participants were tested from all six positions, four of</w:t>
      </w:r>
      <w:r>
        <w:t xml:space="preserve"> </w:t>
      </w:r>
      <w:r>
        <w:t xml:space="preserve">which were novel for the varied condition, and five of which were novel</w:t>
      </w:r>
      <w:r>
        <w:t xml:space="preserve"> </w:t>
      </w:r>
      <w:r>
        <w:t xml:space="preserve">for each of the constant groups. For a general comparison, we took the</w:t>
      </w:r>
      <w:r>
        <w:t xml:space="preserve"> </w:t>
      </w:r>
      <w:r>
        <w:t xml:space="preserve">absolute deviations for each throwing position and computed standardized</w:t>
      </w:r>
      <w:r>
        <w:t xml:space="preserve"> </w:t>
      </w:r>
      <w:r>
        <w:t xml:space="preserve">scores across all participants, and then averaged across throwing</w:t>
      </w:r>
      <w:r>
        <w:t xml:space="preserve"> </w:t>
      </w:r>
      <w:r>
        <w:t xml:space="preserve">position. The six constant groups were then collapsed together allowing</w:t>
      </w:r>
      <w:r>
        <w:t xml:space="preserve"> </w:t>
      </w:r>
      <w:r>
        <w:t xml:space="preserve">us to make a simple comparison between training conditions (constant vs.</w:t>
      </w:r>
      <w:r>
        <w:t xml:space="preserve"> </w:t>
      </w:r>
      <w:r>
        <w:t xml:space="preserve">varied). A type III between-subjects ANOVA was performed, yielding a</w:t>
      </w:r>
      <w:r>
        <w:t xml:space="preserve"> </w:t>
      </w:r>
      <w:r>
        <w:t xml:space="preserve">significant effect of condition F(1,206)=4.33, p=.039,</w:t>
      </w:r>
      <w:r>
        <w:t xml:space="preserve"> </w:t>
      </w:r>
      <m:oMath>
        <m:sSubSup>
          <m:e>
            <m:r>
              <m:t>η</m:t>
            </m:r>
          </m:e>
          <m:sub>
            <m:r>
              <m:t>G</m:t>
            </m:r>
          </m:sub>
          <m:sup>
            <m:r>
              <m:t>2</m:t>
            </m:r>
          </m:sup>
        </m:sSubSup>
      </m:oMath>
      <w:r>
        <w:t xml:space="preserve"> </w:t>
      </w:r>
      <w:r>
        <w:t xml:space="preserve">=.02. Descriptive statistics for each condition are shown in table 2. In</w:t>
      </w:r>
      <w:r>
        <w:t xml:space="preserve"> </w:t>
      </w:r>
      <w:hyperlink w:anchor="fig-e2testa">
        <w:r>
          <w:rPr>
            <w:rStyle w:val="Hyperlink"/>
          </w:rPr>
          <w:t xml:space="preserve">Figure 6</w:t>
        </w:r>
      </w:hyperlink>
      <w:r>
        <w:t xml:space="preserve"> </w:t>
      </w:r>
      <w:r>
        <w:t xml:space="preserve">visualizes the consistent advantage of the varied condition</w:t>
      </w:r>
      <w:r>
        <w:t xml:space="preserve"> </w:t>
      </w:r>
      <w:r>
        <w:t xml:space="preserve">over the constant groups across the testing positions.</w:t>
      </w:r>
      <w:r>
        <w:t xml:space="preserve"> </w:t>
      </w:r>
      <w:hyperlink w:anchor="fig-e2testa">
        <w:r>
          <w:rPr>
            <w:rStyle w:val="Hyperlink"/>
          </w:rPr>
          <w:t xml:space="preserve">Figure 6</w:t>
        </w:r>
      </w:hyperlink>
      <w:r>
        <w:t xml:space="preserve"> </w:t>
      </w:r>
      <w:r>
        <w:t xml:space="preserve">shows</w:t>
      </w:r>
      <w:r>
        <w:t xml:space="preserve"> </w:t>
      </w:r>
      <w:r>
        <w:t xml:space="preserve">performance between the varied condition and the individual constant</w:t>
      </w:r>
      <w:r>
        <w:t xml:space="preserve"> </w:t>
      </w:r>
      <w:r>
        <w:t xml:space="preserve">groups.</w:t>
      </w:r>
    </w:p>
    <w:tbl>
      <w:tblPr>
        <w:tblStyle w:val="Table"/>
        <w:tblW w:type="pct" w:w="5000"/>
        <w:tblLook w:firstRow="0" w:lastRow="0" w:firstColumn="0" w:lastColumn="0" w:noHBand="0" w:noVBand="0" w:val="0000"/>
        <w:jc w:val="start"/>
        <w:tblLayout w:type="fixed"/>
      </w:tblPr>
      <w:tblGrid>
        <w:gridCol w:w="7920"/>
      </w:tblGrid>
      <w:tr>
        <w:tc>
          <w:tcPr/>
          <w:bookmarkStart w:id="66" w:name="fig-e2testa"/>
          <w:p>
            <w:pPr>
              <w:pStyle w:val="Compact"/>
              <w:jc w:val="center"/>
            </w:pPr>
          </w:p>
          <w:p>
            <w:pPr>
              <w:jc w:val="center"/>
            </w:pPr>
            <w:pPr>
              <w:jc w:val="start"/>
              <w:spacing w:before="200"/>
              <w:pStyle w:val="ImageCaption"/>
            </w:pPr>
            <w:r>
              <w:t xml:space="preserve">Figure 6: Testing phase performance from each of the six testing positions. The six constant conditions are averaged together into a single constant group, compared against the single varied-trained group.B)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bookmarkEnd w:id="66"/>
        </w:tc>
      </w:tr>
    </w:tbl>
    <w:p>
      <w:pPr>
        <w:pStyle w:val="BodyText"/>
      </w:pPr>
      <w:r>
        <w:br/>
      </w:r>
    </w:p>
    <w:tbl>
      <w:tblPr>
        <w:tblStyle w:val="Table"/>
        <w:tblW w:type="pct" w:w="5000"/>
        <w:tblLook w:firstRow="0" w:lastRow="0" w:firstColumn="0" w:lastColumn="0" w:noHBand="0" w:noVBand="0" w:val="0000"/>
        <w:jc w:val="start"/>
        <w:tblLayout w:type="fixed"/>
      </w:tblPr>
      <w:tblGrid>
        <w:gridCol w:w="7920"/>
      </w:tblGrid>
      <w:tr>
        <w:tc>
          <w:tcPr/>
          <w:bookmarkStart w:id="67" w:name="tbl-e2table1"/>
          <w:p>
            <w:pPr>
              <w:jc w:val="center"/>
            </w:pPr>
            <w:pPr>
              <w:jc w:val="start"/>
              <w:spacing w:before="200"/>
              <w:pStyle w:val="ImageCaption"/>
            </w:pPr>
            <w:r>
              <w:t xml:space="preserve">Table 1: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100.59(46.3)</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152.28(69.82)</w:t>
                  </w:r>
                </w:p>
              </w:tc>
              <w:tc>
                <w:tcPr/>
                <w:p>
                  <w:pPr>
                    <w:pStyle w:val="Compact"/>
                    <w:jc w:val="left"/>
                    <w:jc w:val="center"/>
                  </w:pPr>
                  <w:r>
                    <w:t xml:space="preserve">134.38(61.38)</w:t>
                  </w:r>
                </w:p>
              </w:tc>
            </w:tr>
            <w:tr>
              <w:tc>
                <w:tcPr/>
                <w:p>
                  <w:pPr>
                    <w:pStyle w:val="Compact"/>
                    <w:jc w:val="left"/>
                    <w:jc w:val="center"/>
                  </w:pPr>
                  <w:r>
                    <w:t xml:space="preserve">625</w:t>
                  </w:r>
                </w:p>
              </w:tc>
              <w:tc>
                <w:tcPr/>
                <w:p>
                  <w:pPr>
                    <w:pStyle w:val="Compact"/>
                    <w:jc w:val="left"/>
                    <w:jc w:val="center"/>
                  </w:pPr>
                  <w:r>
                    <w:t xml:space="preserve">211.21(90.95)</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233.32(93.35)</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283.24(102.85)</w:t>
                  </w:r>
                </w:p>
              </w:tc>
              <w:tc>
                <w:tcPr/>
                <w:p>
                  <w:pPr>
                    <w:pStyle w:val="Compact"/>
                    <w:jc w:val="left"/>
                    <w:jc w:val="center"/>
                  </w:pPr>
                  <w:r>
                    <w:t xml:space="preserve">242.65(89.73)</w:t>
                  </w:r>
                </w:p>
              </w:tc>
            </w:tr>
            <w:tr>
              <w:tc>
                <w:tcPr/>
                <w:p>
                  <w:pPr>
                    <w:pStyle w:val="Compact"/>
                    <w:jc w:val="left"/>
                    <w:jc w:val="center"/>
                  </w:pPr>
                  <w:r>
                    <w:t xml:space="preserve">900</w:t>
                  </w:r>
                </w:p>
              </w:tc>
              <w:tc>
                <w:tcPr/>
                <w:p>
                  <w:pPr>
                    <w:pStyle w:val="Compact"/>
                    <w:jc w:val="left"/>
                    <w:jc w:val="center"/>
                  </w:pPr>
                  <w:r>
                    <w:t xml:space="preserve">343.51(114.33)</w:t>
                  </w:r>
                </w:p>
              </w:tc>
              <w:tc>
                <w:tcPr/>
                <w:p>
                  <w:pPr>
                    <w:pStyle w:val="Compact"/>
                    <w:jc w:val="left"/>
                    <w:jc w:val="center"/>
                  </w:pPr>
                  <w:r>
                    <w:t xml:space="preserve">289.62(110.07)</w:t>
                  </w:r>
                </w:p>
              </w:tc>
            </w:tr>
          </w:tbl>
          <w:bookmarkEnd w:id="67"/>
          <w:p/>
        </w:tc>
      </w:tr>
    </w:tbl>
    <w:p>
      <w:pPr>
        <w:pStyle w:val="BodyText"/>
      </w:pPr>
      <w:r>
        <w:t xml:space="preserve">Next, we compared the testing performance of constant and varied groups</w:t>
      </w:r>
      <w:r>
        <w:t xml:space="preserve"> </w:t>
      </w:r>
      <w:r>
        <w:t xml:space="preserve">from only positions that participants had not encountered during</w:t>
      </w:r>
      <w:r>
        <w:t xml:space="preserve"> </w:t>
      </w:r>
      <w:r>
        <w:t xml:space="preserve">training. Constant participants each had 5 novel positions, whereas</w:t>
      </w:r>
      <w:r>
        <w:t xml:space="preserve"> </w:t>
      </w:r>
      <w:r>
        <w:t xml:space="preserve">varied participants tested from 4 novel positions (400,625,675,900). We</w:t>
      </w:r>
      <w:r>
        <w:t xml:space="preserve"> </w:t>
      </w:r>
      <w:r>
        <w:t xml:space="preserve">first standardized performance within in each position, and then</w:t>
      </w:r>
      <w:r>
        <w:t xml:space="preserve"> </w:t>
      </w:r>
      <w:r>
        <w:t xml:space="preserve">averaged across positions. Here again, we found a significant effect of</w:t>
      </w:r>
      <w:r>
        <w:t xml:space="preserve"> </w:t>
      </w:r>
      <w:r>
        <w:t xml:space="preserve">condition (constant vs. varied): F(1,206)=4.30, p=.039,</w:t>
      </w:r>
      <w:r>
        <w:t xml:space="preserve"> </w:t>
      </w:r>
      <m:oMath>
        <m:sSubSup>
          <m:e>
            <m:r>
              <m:t>η</m:t>
            </m:r>
          </m:e>
          <m:sub>
            <m:r>
              <m:t>G</m:t>
            </m:r>
          </m:sub>
          <m:sup>
            <m:r>
              <m:t>2</m:t>
            </m:r>
          </m:sup>
        </m:sSubSup>
      </m:oMath>
      <w:r>
        <w:t xml:space="preserve"> </w:t>
      </w:r>
      <w:r>
        <w:t xml:space="preserve">=</w:t>
      </w:r>
      <w:r>
        <w:t xml:space="preserve"> </w:t>
      </w:r>
      <w:r>
        <w:t xml:space="preserve">.02 .</w:t>
      </w:r>
    </w:p>
    <w:tbl>
      <w:tblPr>
        <w:tblStyle w:val="Table"/>
        <w:tblW w:type="pct" w:w="5000"/>
        <w:tblLook w:firstRow="0" w:lastRow="0" w:firstColumn="0" w:lastColumn="0" w:noHBand="0" w:noVBand="0" w:val="0000"/>
        <w:jc w:val="start"/>
        <w:tblLayout w:type="fixed"/>
      </w:tblPr>
      <w:tblGrid>
        <w:gridCol w:w="7920"/>
      </w:tblGrid>
      <w:tr>
        <w:tc>
          <w:tcPr/>
          <w:bookmarkStart w:id="68" w:name="tbl-e2table2"/>
          <w:p>
            <w:pPr>
              <w:jc w:val="center"/>
            </w:pPr>
            <w:pPr>
              <w:jc w:val="start"/>
              <w:spacing w:before="200"/>
              <w:pStyle w:val="ImageCaption"/>
            </w:pPr>
            <w:r>
              <w:t xml:space="preserve">Table 2: Testing performance from novel positions. Includes data only from positions that were not encountered during the training stage (e.g. excludes positions 500 and 800 for the varied group, and one of the six locations for each of the constant groups). Table presents Mean absolute deviations from the center of the target, and standard deviations in parenthesis.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98.84(45.31)</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152.12(69.94)</w:t>
                  </w:r>
                </w:p>
              </w:tc>
              <w:tc>
                <w:tcPr/>
                <w:p>
                  <w:pPr>
                    <w:pStyle w:val="Compact"/>
                  </w:pPr>
                </w:p>
              </w:tc>
            </w:tr>
            <w:tr>
              <w:tc>
                <w:tcPr/>
                <w:p>
                  <w:pPr>
                    <w:pStyle w:val="Compact"/>
                    <w:jc w:val="left"/>
                    <w:jc w:val="center"/>
                  </w:pPr>
                  <w:r>
                    <w:t xml:space="preserve">625</w:t>
                  </w:r>
                </w:p>
              </w:tc>
              <w:tc>
                <w:tcPr/>
                <w:p>
                  <w:pPr>
                    <w:pStyle w:val="Compact"/>
                    <w:jc w:val="left"/>
                    <w:jc w:val="center"/>
                  </w:pPr>
                  <w:r>
                    <w:t xml:space="preserve">212.91(92.76)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232.9(95.53)</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285.91(102.81)</w:t>
                  </w:r>
                </w:p>
              </w:tc>
              <w:tc>
                <w:tcPr/>
                <w:p>
                  <w:pPr>
                    <w:pStyle w:val="Compact"/>
                  </w:pPr>
                </w:p>
              </w:tc>
            </w:tr>
            <w:tr>
              <w:tc>
                <w:tcPr/>
                <w:p>
                  <w:pPr>
                    <w:pStyle w:val="Compact"/>
                    <w:jc w:val="left"/>
                    <w:jc w:val="center"/>
                  </w:pPr>
                  <w:r>
                    <w:t xml:space="preserve">900</w:t>
                  </w:r>
                </w:p>
              </w:tc>
              <w:tc>
                <w:tcPr/>
                <w:p>
                  <w:pPr>
                    <w:pStyle w:val="Compact"/>
                    <w:jc w:val="left"/>
                    <w:jc w:val="center"/>
                  </w:pPr>
                  <w:r>
                    <w:t xml:space="preserve">346.96(111.35)</w:t>
                  </w:r>
                </w:p>
              </w:tc>
              <w:tc>
                <w:tcPr/>
                <w:p>
                  <w:pPr>
                    <w:pStyle w:val="Compact"/>
                    <w:jc w:val="left"/>
                    <w:jc w:val="center"/>
                  </w:pPr>
                  <w:r>
                    <w:t xml:space="preserve">289.62(110.07)</w:t>
                  </w:r>
                </w:p>
              </w:tc>
            </w:tr>
          </w:tbl>
          <w:bookmarkEnd w:id="68"/>
          <w:p/>
        </w:tc>
      </w:tr>
    </w:tbl>
    <w:p>
      <w:pPr>
        <w:pStyle w:val="BodyText"/>
      </w:pPr>
      <w:r>
        <w:t xml:space="preserve">Finally, corresponding to the comparison of position 760 from experiment</w:t>
      </w:r>
      <w:r>
        <w:t xml:space="preserve"> </w:t>
      </w:r>
      <w:r>
        <w:t xml:space="preserve">1, we compared the test performance of the varied group against the</w:t>
      </w:r>
      <w:r>
        <w:t xml:space="preserve"> </w:t>
      </w:r>
      <w:r>
        <w:t xml:space="preserve">constant group from only the positions that the constant groups trained.</w:t>
      </w:r>
      <w:r>
        <w:t xml:space="preserve"> </w:t>
      </w:r>
      <w:r>
        <w:t xml:space="preserve">Such positions were novel to the varied group (thus this analysis</w:t>
      </w:r>
      <w:r>
        <w:t xml:space="preserve"> </w:t>
      </w:r>
      <w:r>
        <w:t xml:space="preserve">omitted two constant groups that trained from positions 500 or 800 as</w:t>
      </w:r>
      <w:r>
        <w:t xml:space="preserve"> </w:t>
      </w:r>
      <w:r>
        <w:t xml:space="preserve">those positions were not novel to the varied group).</w:t>
      </w:r>
      <w:r>
        <w:t xml:space="preserve"> </w:t>
      </w:r>
      <w:hyperlink w:anchor="fig-e2test1">
        <w:r>
          <w:rPr>
            <w:rStyle w:val="Hyperlink"/>
          </w:rPr>
          <w:t xml:space="preserve">Figure 7</w:t>
        </w:r>
      </w:hyperlink>
      <w:r>
        <w:t xml:space="preserve"> </w:t>
      </w:r>
      <w:r>
        <w:t xml:space="preserve">displays</w:t>
      </w:r>
      <w:r>
        <w:t xml:space="preserve"> </w:t>
      </w:r>
      <w:r>
        <w:t xml:space="preserve">the particular subset of comparisons utilized for this analysis. Again,</w:t>
      </w:r>
      <w:r>
        <w:t xml:space="preserve"> </w:t>
      </w:r>
      <w:r>
        <w:t xml:space="preserve">we standardized performance within each position before performing the</w:t>
      </w:r>
      <w:r>
        <w:t xml:space="preserve"> </w:t>
      </w:r>
      <w:r>
        <w:t xml:space="preserve">analyses on the aggregated data. In this case, the effect of condition</w:t>
      </w:r>
      <w:r>
        <w:t xml:space="preserve"> </w:t>
      </w:r>
      <w:r>
        <w:t xml:space="preserve">did not reach statistical significance F(1,149)=3.14, p=.079,</w:t>
      </w:r>
      <w:r>
        <w:t xml:space="preserve"> </w:t>
      </w:r>
      <m:oMath>
        <m:sSubSup>
          <m:e>
            <m:r>
              <m:t>η</m:t>
            </m:r>
          </m:e>
          <m:sub>
            <m:r>
              <m:t>G</m:t>
            </m:r>
          </m:sub>
          <m:sup>
            <m:r>
              <m:t>2</m:t>
            </m:r>
          </m:sup>
        </m:sSubSup>
      </m:oMath>
      <w:r>
        <w:t xml:space="preserve"> </w:t>
      </w:r>
      <w:r>
        <w:t xml:space="preserve">= .02. Table 4 provides descriptive statistics.</w:t>
      </w:r>
    </w:p>
    <w:tbl>
      <w:tblPr>
        <w:tblStyle w:val="Table"/>
        <w:tblW w:type="pct" w:w="5000"/>
        <w:tblLook w:firstRow="0" w:lastRow="0" w:firstColumn="0" w:lastColumn="0" w:noHBand="0" w:noVBand="0" w:val="0000"/>
        <w:jc w:val="start"/>
        <w:tblLayout w:type="fixed"/>
      </w:tblPr>
      <w:tblGrid>
        <w:gridCol w:w="7920"/>
      </w:tblGrid>
      <w:tr>
        <w:tc>
          <w:tcPr/>
          <w:bookmarkStart w:id="69" w:name="fig-e2test1"/>
          <w:p>
            <w:pPr>
              <w:pStyle w:val="Compact"/>
              <w:jc w:val="center"/>
            </w:pPr>
          </w:p>
          <w:p>
            <w:pPr>
              <w:jc w:val="center"/>
            </w:pPr>
            <w:pPr>
              <w:jc w:val="start"/>
              <w:spacing w:before="200"/>
              <w:pStyle w:val="ImageCaption"/>
            </w:pPr>
            <w:r>
              <w:t xml:space="preserve">Figure 7: A comparison of throwing location that are identical to those trained by the constant participants (e.g. constant participants trained at position 900, tested from position 900), which are also novel to the varied-trained participants (thus excluding positions 500 and 800). Error bars indicate standard error of the mean.</w:t>
            </w:r>
          </w:p>
          <w:bookmarkEnd w:id="69"/>
        </w:tc>
      </w:tr>
    </w:tbl>
    <w:p>
      <w:pPr>
        <w:pStyle w:val="BodyText"/>
      </w:pPr>
      <w:r>
        <w:br/>
      </w:r>
    </w:p>
    <w:tbl>
      <w:tblPr>
        <w:tblStyle w:val="Table"/>
        <w:tblW w:type="pct" w:w="5000"/>
        <w:tblLook w:firstRow="0" w:lastRow="0" w:firstColumn="0" w:lastColumn="0" w:noHBand="0" w:noVBand="0" w:val="0000"/>
        <w:jc w:val="start"/>
        <w:tblLayout w:type="fixed"/>
      </w:tblPr>
      <w:tblGrid>
        <w:gridCol w:w="7920"/>
      </w:tblGrid>
      <w:tr>
        <w:tc>
          <w:tcPr/>
          <w:bookmarkStart w:id="70" w:name="tbl-e2tab3"/>
          <w:p>
            <w:pPr>
              <w:jc w:val="center"/>
            </w:pPr>
            <w:pPr>
              <w:jc w:val="start"/>
              <w:spacing w:before="200"/>
              <w:pStyle w:val="ImageCaption"/>
            </w:pPr>
            <w:r>
              <w:t xml:space="preserve">Table 3: Testing performance from the locations trained by constant participants and novel to varied participants. Locations 500 and 800 are not included as these were trained by the varied participants. Table presents Mean absolute deviation from the center of the target, and standard deviations in parenthesis.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108.85(50.63)</w:t>
                  </w:r>
                </w:p>
              </w:tc>
              <w:tc>
                <w:tcPr/>
                <w:p>
                  <w:pPr>
                    <w:pStyle w:val="Compact"/>
                    <w:jc w:val="left"/>
                    <w:jc w:val="center"/>
                  </w:pPr>
                  <w:r>
                    <w:t xml:space="preserve">83.92(33.76)</w:t>
                  </w:r>
                </w:p>
              </w:tc>
            </w:tr>
            <w:tr>
              <w:tc>
                <w:tcPr/>
                <w:p>
                  <w:pPr>
                    <w:pStyle w:val="Compact"/>
                    <w:jc w:val="left"/>
                    <w:jc w:val="center"/>
                  </w:pPr>
                  <w:r>
                    <w:t xml:space="preserve">625</w:t>
                  </w:r>
                </w:p>
              </w:tc>
              <w:tc>
                <w:tcPr/>
                <w:p>
                  <w:pPr>
                    <w:pStyle w:val="Compact"/>
                    <w:jc w:val="left"/>
                    <w:jc w:val="center"/>
                  </w:pPr>
                  <w:r>
                    <w:t xml:space="preserve">204.75(84.66)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235.75(81.15)</w:t>
                  </w:r>
                </w:p>
              </w:tc>
              <w:tc>
                <w:tcPr/>
                <w:p>
                  <w:pPr>
                    <w:pStyle w:val="Compact"/>
                    <w:jc w:val="left"/>
                    <w:jc w:val="center"/>
                  </w:pPr>
                  <w:r>
                    <w:t xml:space="preserve">206.32(94.64)</w:t>
                  </w:r>
                </w:p>
              </w:tc>
            </w:tr>
            <w:tr>
              <w:tc>
                <w:tcPr/>
                <w:p>
                  <w:pPr>
                    <w:pStyle w:val="Compact"/>
                    <w:jc w:val="left"/>
                    <w:jc w:val="center"/>
                  </w:pPr>
                  <w:r>
                    <w:t xml:space="preserve">900</w:t>
                  </w:r>
                </w:p>
              </w:tc>
              <w:tc>
                <w:tcPr/>
                <w:p>
                  <w:pPr>
                    <w:pStyle w:val="Compact"/>
                    <w:jc w:val="left"/>
                    <w:jc w:val="center"/>
                  </w:pPr>
                  <w:r>
                    <w:t xml:space="preserve">323.5(130.9)</w:t>
                  </w:r>
                </w:p>
              </w:tc>
              <w:tc>
                <w:tcPr/>
                <w:p>
                  <w:pPr>
                    <w:pStyle w:val="Compact"/>
                    <w:jc w:val="left"/>
                    <w:jc w:val="center"/>
                  </w:pPr>
                  <w:r>
                    <w:t xml:space="preserve">289.62(110.07)</w:t>
                  </w:r>
                </w:p>
              </w:tc>
            </w:tr>
          </w:tbl>
          <w:bookmarkEnd w:id="70"/>
          <w:p/>
        </w:tc>
      </w:tr>
    </w:tbl>
    <w:bookmarkEnd w:id="71"/>
    <w:bookmarkStart w:id="72" w:name="discussion-1"/>
    <w:p>
      <w:pPr>
        <w:pStyle w:val="Heading3"/>
      </w:pPr>
      <w:r>
        <w:t xml:space="preserve">Discussion</w:t>
      </w:r>
    </w:p>
    <w:p>
      <w:pPr>
        <w:pStyle w:val="FirstParagraph"/>
      </w:pPr>
      <w:r>
        <w:t xml:space="preserve">The results of experiment 2 largely conform to the findings of</w:t>
      </w:r>
      <w:r>
        <w:t xml:space="preserve"> </w:t>
      </w:r>
      <w:r>
        <w:t xml:space="preserve">experiment 1. Participants in both varied and constant conditions</w:t>
      </w:r>
      <w:r>
        <w:t xml:space="preserve"> </w:t>
      </w:r>
      <w:r>
        <w:t xml:space="preserve">improved at the task during the training phase. We did not observe the</w:t>
      </w:r>
      <w:r>
        <w:t xml:space="preserve"> </w:t>
      </w:r>
      <w:r>
        <w:t xml:space="preserve">common finding of training under varied conditions producing worse</w:t>
      </w:r>
      <w:r>
        <w:t xml:space="preserve"> </w:t>
      </w:r>
      <w:r>
        <w:t xml:space="preserve">performance during acquisition than training under constant conditions</w:t>
      </w:r>
      <w:r>
        <w:t xml:space="preserve"> </w:t>
      </w:r>
      <w:r>
        <w:t xml:space="preserve">(</w:t>
      </w:r>
      <w:hyperlink w:anchor="Xb08d1d2c70db9470b6217bc6c358d6ea58e7916">
        <w:r>
          <w:rPr>
            <w:rStyle w:val="Hyperlink"/>
          </w:rPr>
          <w:t xml:space="preserve">Catalano &amp; Kleiner, 1984</w:t>
        </w:r>
      </w:hyperlink>
      <w:r>
        <w:t xml:space="preserve">;</w:t>
      </w:r>
      <w:r>
        <w:t xml:space="preserve"> </w:t>
      </w:r>
      <w:hyperlink w:anchor="X05a5acade1fdd8bd616f6380d0ca460d0ffe88c">
        <w:r>
          <w:rPr>
            <w:rStyle w:val="Hyperlink"/>
          </w:rPr>
          <w:t xml:space="preserve">Wrisberg et al., 1987</w:t>
        </w:r>
      </w:hyperlink>
      <w:r>
        <w:t xml:space="preserve">)</w:t>
      </w:r>
      <w:r>
        <w:t xml:space="preserve">, which has been</w:t>
      </w:r>
      <w:r>
        <w:t xml:space="preserve"> </w:t>
      </w:r>
      <w:r>
        <w:t xml:space="preserve">suggested to relate to the subsequent benefits of varied training in</w:t>
      </w:r>
      <w:r>
        <w:t xml:space="preserve"> </w:t>
      </w:r>
      <w:r>
        <w:t xml:space="preserve">retention and generalization testing</w:t>
      </w:r>
      <w:r>
        <w:t xml:space="preserve"> </w:t>
      </w:r>
      <w:r>
        <w:t xml:space="preserve">(</w:t>
      </w:r>
      <w:hyperlink w:anchor="X0acc7fc1613de11f1df556c6841b86f5c4c9943">
        <w:r>
          <w:rPr>
            <w:rStyle w:val="Hyperlink"/>
          </w:rPr>
          <w:t xml:space="preserve">Soderstrom &amp; Bjork, 2015</w:t>
        </w:r>
      </w:hyperlink>
      <w:r>
        <w:t xml:space="preserve">)</w:t>
      </w:r>
      <w:r>
        <w:t xml:space="preserve">. However</w:t>
      </w:r>
      <w:r>
        <w:t xml:space="preserve"> </w:t>
      </w:r>
      <w:r>
        <w:t xml:space="preserve">our finding of no difference in training performance between constant</w:t>
      </w:r>
      <w:r>
        <w:t xml:space="preserve"> </w:t>
      </w:r>
      <w:r>
        <w:t xml:space="preserve">and varied groups has been observed in previous work</w:t>
      </w:r>
      <w:r>
        <w:t xml:space="preserve"> </w:t>
      </w:r>
      <w:r>
        <w:t xml:space="preserve">(</w:t>
      </w:r>
      <w:hyperlink w:anchor="ref-chuaPracticeVariabilityPromotes2019">
        <w:r>
          <w:rPr>
            <w:rStyle w:val="Hyperlink"/>
          </w:rPr>
          <w:t xml:space="preserve">Chua et al., 2019</w:t>
        </w:r>
      </w:hyperlink>
      <w:r>
        <w:t xml:space="preserve">;</w:t>
      </w:r>
      <w:r>
        <w:t xml:space="preserve"> </w:t>
      </w:r>
      <w:hyperlink w:anchor="ref-moxleySchemaVariabilityPractice1979">
        <w:r>
          <w:rPr>
            <w:rStyle w:val="Hyperlink"/>
          </w:rPr>
          <w:t xml:space="preserve">Moxley, 1979</w:t>
        </w:r>
      </w:hyperlink>
      <w:r>
        <w:t xml:space="preserve">;</w:t>
      </w:r>
      <w:r>
        <w:t xml:space="preserve"> </w:t>
      </w:r>
      <w:hyperlink w:anchor="ref-pigottMotorSchemaStructure1984">
        <w:r>
          <w:rPr>
            <w:rStyle w:val="Hyperlink"/>
          </w:rPr>
          <w:t xml:space="preserve">Pigott &amp; Shapiro, 1984</w:t>
        </w:r>
      </w:hyperlink>
      <w:r>
        <w:t xml:space="preserve">)</w:t>
      </w:r>
      <w:r>
        <w:t xml:space="preserve">.</w:t>
      </w:r>
    </w:p>
    <w:p>
      <w:pPr>
        <w:pStyle w:val="BodyText"/>
      </w:pPr>
      <w:r>
        <w:t xml:space="preserve">In the testing phase, our varied group significantly outperformed the</w:t>
      </w:r>
      <w:r>
        <w:t xml:space="preserve"> </w:t>
      </w:r>
      <w:r>
        <w:t xml:space="preserve">constant conditions in both a general comparison, and in an analysis</w:t>
      </w:r>
      <w:r>
        <w:t xml:space="preserve"> </w:t>
      </w:r>
      <w:r>
        <w:t xml:space="preserve">limited to novel throwing positions. The observed benefit of varied over</w:t>
      </w:r>
      <w:r>
        <w:t xml:space="preserve"> </w:t>
      </w:r>
      <w:r>
        <w:t xml:space="preserve">constant training echoes the findings of many previous visuomotor skill</w:t>
      </w:r>
      <w:r>
        <w:t xml:space="preserve"> </w:t>
      </w:r>
      <w:r>
        <w:t xml:space="preserve">learning studies that have continued to emerge since the introduction of</w:t>
      </w:r>
      <w:r>
        <w:t xml:space="preserve"> </w:t>
      </w:r>
      <w:r>
        <w:t xml:space="preserve">Schmidt’s influential Schema Theory</w:t>
      </w:r>
      <w:r>
        <w:t xml:space="preserve"> </w:t>
      </w:r>
      <w:r>
        <w:t xml:space="preserve">(</w:t>
      </w:r>
      <w:hyperlink w:anchor="Xb08d1d2c70db9470b6217bc6c358d6ea58e7916">
        <w:r>
          <w:rPr>
            <w:rStyle w:val="Hyperlink"/>
          </w:rPr>
          <w:t xml:space="preserve">Catalano &amp; Kleiner, 1984</w:t>
        </w:r>
      </w:hyperlink>
      <w:r>
        <w:t xml:space="preserve">;</w:t>
      </w:r>
      <w:r>
        <w:t xml:space="preserve"> </w:t>
      </w:r>
      <w:hyperlink w:anchor="ref-chuaPracticeVariabilityPromotes2019">
        <w:r>
          <w:rPr>
            <w:rStyle w:val="Hyperlink"/>
          </w:rPr>
          <w:t xml:space="preserve">Chua et al., 2019</w:t>
        </w:r>
      </w:hyperlink>
      <w:r>
        <w:t xml:space="preserve">;</w:t>
      </w:r>
      <w:r>
        <w:t xml:space="preserve"> </w:t>
      </w:r>
      <w:hyperlink w:anchor="ref-goodwinEffectDifferentQuantities1998">
        <w:r>
          <w:rPr>
            <w:rStyle w:val="Hyperlink"/>
          </w:rPr>
          <w:t xml:space="preserve">Goodwin et al., 1998</w:t>
        </w:r>
      </w:hyperlink>
      <w:r>
        <w:t xml:space="preserve">;</w:t>
      </w:r>
      <w:r>
        <w:t xml:space="preserve"> </w:t>
      </w:r>
      <w:hyperlink w:anchor="ref-mccrackenTestSchemaTheory1977">
        <w:r>
          <w:rPr>
            <w:rStyle w:val="Hyperlink"/>
          </w:rPr>
          <w:t xml:space="preserve">McCracken &amp; Stelmach, 1977</w:t>
        </w:r>
      </w:hyperlink>
      <w:r>
        <w:t xml:space="preserve">;</w:t>
      </w:r>
      <w:r>
        <w:t xml:space="preserve"> </w:t>
      </w:r>
      <w:hyperlink w:anchor="ref-moxleySchemaVariabilityPractice1979">
        <w:r>
          <w:rPr>
            <w:rStyle w:val="Hyperlink"/>
          </w:rPr>
          <w:t xml:space="preserve">Moxley, 1979</w:t>
        </w:r>
      </w:hyperlink>
      <w:r>
        <w:t xml:space="preserve">;</w:t>
      </w:r>
      <w:r>
        <w:t xml:space="preserve"> </w:t>
      </w:r>
      <w:hyperlink w:anchor="X7949f5876792781c015572639531a7aeb223f01">
        <w:r>
          <w:rPr>
            <w:rStyle w:val="Hyperlink"/>
          </w:rPr>
          <w:t xml:space="preserve">Newell &amp; Shapiro, 1976</w:t>
        </w:r>
      </w:hyperlink>
      <w:r>
        <w:t xml:space="preserve">;</w:t>
      </w:r>
      <w:r>
        <w:t xml:space="preserve"> </w:t>
      </w:r>
      <w:hyperlink w:anchor="ref-pigottMotorSchemaStructure1984">
        <w:r>
          <w:rPr>
            <w:rStyle w:val="Hyperlink"/>
          </w:rPr>
          <w:t xml:space="preserve">Pigott &amp; Shapiro, 1984</w:t>
        </w:r>
      </w:hyperlink>
      <w:r>
        <w:t xml:space="preserve">;</w:t>
      </w:r>
      <w:r>
        <w:t xml:space="preserve"> </w:t>
      </w:r>
      <w:hyperlink w:anchor="ref-rollerVariablePracticeLenses2001">
        <w:r>
          <w:rPr>
            <w:rStyle w:val="Hyperlink"/>
          </w:rPr>
          <w:t xml:space="preserve">Roller et al., 2001</w:t>
        </w:r>
      </w:hyperlink>
      <w:r>
        <w:t xml:space="preserve">;</w:t>
      </w:r>
      <w:r>
        <w:t xml:space="preserve"> </w:t>
      </w:r>
      <w:hyperlink w:anchor="ref-schmidtSchemaTheoryDiscrete1975">
        <w:r>
          <w:rPr>
            <w:rStyle w:val="Hyperlink"/>
          </w:rPr>
          <w:t xml:space="preserve">Schmidt, 1975</w:t>
        </w:r>
      </w:hyperlink>
      <w:r>
        <w:t xml:space="preserve">;</w:t>
      </w:r>
      <w:r>
        <w:t xml:space="preserve"> </w:t>
      </w:r>
      <w:hyperlink w:anchor="ref-willeyLongtermMotorLearning2018">
        <w:r>
          <w:rPr>
            <w:rStyle w:val="Hyperlink"/>
          </w:rPr>
          <w:t xml:space="preserve">Willey &amp; Liu, 2018b</w:t>
        </w:r>
      </w:hyperlink>
      <w:r>
        <w:t xml:space="preserve">;</w:t>
      </w:r>
      <w:r>
        <w:t xml:space="preserve"> </w:t>
      </w:r>
      <w:hyperlink w:anchor="X05a5acade1fdd8bd616f6380d0ca460d0ffe88c">
        <w:r>
          <w:rPr>
            <w:rStyle w:val="Hyperlink"/>
          </w:rPr>
          <w:t xml:space="preserve">Wrisberg et al., 1987</w:t>
        </w:r>
      </w:hyperlink>
      <w:r>
        <w:t xml:space="preserve">;</w:t>
      </w:r>
      <w:r>
        <w:t xml:space="preserve"> </w:t>
      </w:r>
      <w:hyperlink w:anchor="ref-wulfEffectTypePractice1991">
        <w:r>
          <w:rPr>
            <w:rStyle w:val="Hyperlink"/>
          </w:rPr>
          <w:t xml:space="preserve">Wulf, 1991</w:t>
        </w:r>
      </w:hyperlink>
      <w:r>
        <w:t xml:space="preserve">)</w:t>
      </w:r>
      <w:r>
        <w:t xml:space="preserve">. We also join a much smaller set of research to observe this</w:t>
      </w:r>
      <w:r>
        <w:t xml:space="preserve"> </w:t>
      </w:r>
      <w:r>
        <w:t xml:space="preserve">pattern in a computerized task</w:t>
      </w:r>
      <w:r>
        <w:t xml:space="preserve"> </w:t>
      </w:r>
      <w:r>
        <w:t xml:space="preserve">(</w:t>
      </w:r>
      <w:hyperlink w:anchor="ref-seowTransferEffectsVaried2019">
        <w:r>
          <w:rPr>
            <w:rStyle w:val="Hyperlink"/>
          </w:rPr>
          <w:t xml:space="preserve">Seow et al., 2019</w:t>
        </w:r>
      </w:hyperlink>
      <w:r>
        <w:t xml:space="preserve">)</w:t>
      </w:r>
      <w:r>
        <w:t xml:space="preserve">. One departure from</w:t>
      </w:r>
      <w:r>
        <w:t xml:space="preserve"> </w:t>
      </w:r>
      <w:r>
        <w:t xml:space="preserve">the experiment 1 findings concerns the pattern wherein the varied group</w:t>
      </w:r>
      <w:r>
        <w:t xml:space="preserve"> </w:t>
      </w:r>
      <w:r>
        <w:t xml:space="preserve">outperformed the constant group even from the training position of the</w:t>
      </w:r>
      <w:r>
        <w:t xml:space="preserve"> </w:t>
      </w:r>
      <w:r>
        <w:t xml:space="preserve">constant group, which was significant in experiment 1, but did not reach</w:t>
      </w:r>
      <w:r>
        <w:t xml:space="preserve"> </w:t>
      </w:r>
      <w:r>
        <w:t xml:space="preserve">significance in experiment 2. Although this pattern has been observed</w:t>
      </w:r>
      <w:r>
        <w:t xml:space="preserve"> </w:t>
      </w:r>
      <w:r>
        <w:t xml:space="preserve">elsewhere in the literature</w:t>
      </w:r>
      <w:r>
        <w:t xml:space="preserve"> </w:t>
      </w:r>
      <w:r>
        <w:t xml:space="preserve">(</w:t>
      </w:r>
      <w:hyperlink w:anchor="ref-goodeSuperiorityVariableRepeated2008">
        <w:r>
          <w:rPr>
            <w:rStyle w:val="Hyperlink"/>
          </w:rPr>
          <w:t xml:space="preserve">Goode et al., 2008</w:t>
        </w:r>
      </w:hyperlink>
      <w:r>
        <w:t xml:space="preserve">;</w:t>
      </w:r>
      <w:r>
        <w:t xml:space="preserve"> </w:t>
      </w:r>
      <w:hyperlink w:anchor="ref-kerrSpecificVariedPractice1978">
        <w:r>
          <w:rPr>
            <w:rStyle w:val="Hyperlink"/>
          </w:rPr>
          <w:t xml:space="preserve">Kerr &amp; Booth, 1978</w:t>
        </w:r>
      </w:hyperlink>
      <w:r>
        <w:t xml:space="preserve">)</w:t>
      </w:r>
      <w:r>
        <w:t xml:space="preserve">,</w:t>
      </w:r>
      <w:r>
        <w:t xml:space="preserve"> </w:t>
      </w:r>
      <w:r>
        <w:t xml:space="preserve">the overall evidence for this effect appears to be far weaker than for</w:t>
      </w:r>
      <w:r>
        <w:t xml:space="preserve"> </w:t>
      </w:r>
      <w:r>
        <w:t xml:space="preserve">the more general benefit of varied training in conditions novel to all</w:t>
      </w:r>
      <w:r>
        <w:t xml:space="preserve"> </w:t>
      </w:r>
      <w:r>
        <w:t xml:space="preserve">training groups.</w:t>
      </w:r>
    </w:p>
    <w:bookmarkEnd w:id="72"/>
    <w:bookmarkStart w:id="75" w:name="computational-model"/>
    <w:p>
      <w:pPr>
        <w:pStyle w:val="Heading3"/>
      </w:pPr>
      <w:r>
        <w:t xml:space="preserve">Computational Model</w:t>
      </w:r>
    </w:p>
    <w:p>
      <w:pPr>
        <w:pStyle w:val="FirstParagraph"/>
      </w:pPr>
      <w:r>
        <w:t xml:space="preserve">Controlling for the similarity between training and testing The primary</w:t>
      </w:r>
      <w:r>
        <w:t xml:space="preserve"> </w:t>
      </w:r>
      <w:r>
        <w:t xml:space="preserve">goal of Experiment 2 was to examine whether the benefits of variability</w:t>
      </w:r>
      <w:r>
        <w:t xml:space="preserve"> </w:t>
      </w:r>
      <w:r>
        <w:t xml:space="preserve">would persist after accounting for individual differences in the</w:t>
      </w:r>
      <w:r>
        <w:t xml:space="preserve"> </w:t>
      </w:r>
      <w:r>
        <w:t xml:space="preserve">similarity between trained and tested throwing locations. To this end,</w:t>
      </w:r>
      <w:r>
        <w:t xml:space="preserve"> </w:t>
      </w:r>
      <w:r>
        <w:t xml:space="preserve">we modelled each throw as a two-dimensional point in the space of x and</w:t>
      </w:r>
      <w:r>
        <w:t xml:space="preserve"> </w:t>
      </w:r>
      <w:r>
        <w:t xml:space="preserve">y velocities applied to the projectile at the moment of release. For</w:t>
      </w:r>
      <w:r>
        <w:t xml:space="preserve"> </w:t>
      </w:r>
      <w:r>
        <w:t xml:space="preserve">each participant, we took each individual training throw, and computed</w:t>
      </w:r>
      <w:r>
        <w:t xml:space="preserve"> </w:t>
      </w:r>
      <w:r>
        <w:t xml:space="preserve">the similarity between that throw and the entire population of throws</w:t>
      </w:r>
      <w:r>
        <w:t xml:space="preserve"> </w:t>
      </w:r>
      <w:r>
        <w:t xml:space="preserve">within the solution space for each of the 6 testing positions. We</w:t>
      </w:r>
      <w:r>
        <w:t xml:space="preserve"> </w:t>
      </w:r>
      <w:r>
        <w:t xml:space="preserve">defined the solution space empirically as the set of all combinations of</w:t>
      </w:r>
      <w:r>
        <w:t xml:space="preserve"> </w:t>
      </w:r>
      <w:r>
        <w:t xml:space="preserve">x and y throw velocities that resulted in hitting the target. We then</w:t>
      </w:r>
      <w:r>
        <w:t xml:space="preserve"> </w:t>
      </w:r>
      <w:r>
        <w:t xml:space="preserve">summed each of the trial-level similarities to produce a single</w:t>
      </w:r>
      <w:r>
        <w:t xml:space="preserve"> </w:t>
      </w:r>
      <w:r>
        <w:t xml:space="preserve">similarity for each testing position score relating how the participant</w:t>
      </w:r>
      <w:r>
        <w:t xml:space="preserve"> </w:t>
      </w:r>
      <w:r>
        <w:t xml:space="preserve">threw the ball during training and the solutions that would result in</w:t>
      </w:r>
      <w:r>
        <w:t xml:space="preserve"> </w:t>
      </w:r>
      <w:r>
        <w:t xml:space="preserve">target hits from each of the six testing positions – thus resulting in</w:t>
      </w:r>
      <w:r>
        <w:t xml:space="preserve"> </w:t>
      </w:r>
      <w:r>
        <w:t xml:space="preserve">six separate similarity scores for each participant.</w:t>
      </w:r>
      <w:r>
        <w:t xml:space="preserve"> </w:t>
      </w:r>
      <w:hyperlink w:anchor="fig-taskSpace1">
        <w:r>
          <w:rPr>
            <w:rStyle w:val="Hyperlink"/>
          </w:rPr>
          <w:t xml:space="preserve">Figure 8</w:t>
        </w:r>
      </w:hyperlink>
      <w:r>
        <w:t xml:space="preserve"> </w:t>
      </w:r>
      <w:r>
        <w:t xml:space="preserve">visualizes the solution space for each location and illustrates how</w:t>
      </w:r>
      <w:r>
        <w:t xml:space="preserve"> </w:t>
      </w:r>
      <w:r>
        <w:t xml:space="preserve">different combinations of x and y velocity result in successfully</w:t>
      </w:r>
      <w:r>
        <w:t xml:space="preserve"> </w:t>
      </w:r>
      <w:r>
        <w:t xml:space="preserve">striking the target from different launching positions. As illustrated</w:t>
      </w:r>
      <w:r>
        <w:t xml:space="preserve"> </w:t>
      </w:r>
      <w:r>
        <w:t xml:space="preserve">in</w:t>
      </w:r>
      <w:r>
        <w:t xml:space="preserve"> </w:t>
      </w:r>
      <w:hyperlink w:anchor="fig-taskSpace1">
        <w:r>
          <w:rPr>
            <w:rStyle w:val="Hyperlink"/>
          </w:rPr>
          <w:t xml:space="preserve">Figure 8</w:t>
        </w:r>
      </w:hyperlink>
      <w:r>
        <w:t xml:space="preserve">, the solution throws represent just a small fraction of the</w:t>
      </w:r>
      <w:r>
        <w:t xml:space="preserve"> </w:t>
      </w:r>
      <w:r>
        <w:t xml:space="preserve">entire space of velocity combinations used by participants throughout</w:t>
      </w:r>
      <w:r>
        <w:t xml:space="preserve"> </w:t>
      </w:r>
      <w:r>
        <w:t xml:space="preserve">the experiment.</w:t>
      </w:r>
    </w:p>
    <w:tbl>
      <w:tblPr>
        <w:tblStyle w:val="Table"/>
        <w:tblW w:type="pct" w:w="5000"/>
        <w:tblLook w:firstRow="0" w:lastRow="0" w:firstColumn="0" w:lastColumn="0" w:noHBand="0" w:noVBand="0" w:val="0000"/>
        <w:jc w:val="start"/>
        <w:tblLayout w:type="fixed"/>
      </w:tblPr>
      <w:tblGrid>
        <w:gridCol w:w="7920"/>
      </w:tblGrid>
      <w:tr>
        <w:tc>
          <w:tcPr/>
          <w:bookmarkStart w:id="73" w:name="fig-taskSpace1"/>
          <w:p>
            <w:pPr>
              <w:pStyle w:val="Compact"/>
              <w:jc w:val="center"/>
            </w:pPr>
          </w:p>
          <w:p>
            <w:pPr>
              <w:jc w:val="center"/>
            </w:pPr>
            <w:pPr>
              <w:jc w:val="start"/>
              <w:spacing w:before="200"/>
              <w:pStyle w:val="ImageCaption"/>
            </w:pPr>
            <w:r>
              <w:t xml:space="preserve">Figure 8: A visual representation of the combinations of throw parameters (x and y velocities applied to the ball at launch), which resulted in target hits during the testing phase. This empirical solution space was compiled from all of the participants in experiment 2. Figure 8B shows the solution space within the context of all of the throws made throughout the testing phase of the experiment.</w:t>
            </w:r>
          </w:p>
          <w:bookmarkEnd w:id="73"/>
        </w:tc>
      </w:tr>
    </w:tbl>
    <w:p>
      <w:pPr>
        <w:pStyle w:val="BodyText"/>
      </w:pPr>
      <w:r>
        <w:t xml:space="preserve">For each individual trial, the Euclidean distance (Equation 1) was</w:t>
      </w:r>
      <w:r>
        <w:t xml:space="preserve"> </w:t>
      </w:r>
      <w:r>
        <w:t xml:space="preserve">computed between the velocity components (x and y) of that trial and the</w:t>
      </w:r>
      <w:r>
        <w:t xml:space="preserve"> </w:t>
      </w:r>
      <w:r>
        <w:t xml:space="preserve">velocity components of each individual solution throw for each of the 6</w:t>
      </w:r>
      <w:r>
        <w:t xml:space="preserve"> </w:t>
      </w:r>
      <w:r>
        <w:t xml:space="preserve">positions from which participants would be tested in the final phase of</w:t>
      </w:r>
      <w:r>
        <w:t xml:space="preserve"> </w:t>
      </w:r>
      <w:r>
        <w:t xml:space="preserve">the study. The P parameter in Equation 1 is set equal to 2, reflecting a</w:t>
      </w:r>
      <w:r>
        <w:t xml:space="preserve"> </w:t>
      </w:r>
      <w:r>
        <w:t xml:space="preserve">Gaussian similarity gradient. Then, as per an instance-based model of</w:t>
      </w:r>
      <w:r>
        <w:t xml:space="preserve"> </w:t>
      </w:r>
      <w:r>
        <w:t xml:space="preserve">similarity</w:t>
      </w:r>
      <w:r>
        <w:t xml:space="preserve"> </w:t>
      </w:r>
      <w:r>
        <w:t xml:space="preserve">(</w:t>
      </w:r>
      <w:hyperlink w:anchor="ref-loganInstanceTheoryAttention2002a">
        <w:r>
          <w:rPr>
            <w:rStyle w:val="Hyperlink"/>
          </w:rPr>
          <w:t xml:space="preserve">Logan, 2002</w:t>
        </w:r>
      </w:hyperlink>
      <w:r>
        <w:t xml:space="preserve">;</w:t>
      </w:r>
      <w:r>
        <w:t xml:space="preserve"> </w:t>
      </w:r>
      <w:hyperlink w:anchor="X639a429f50283f5b36ce92c57a3abdf26659eda">
        <w:r>
          <w:rPr>
            <w:rStyle w:val="Hyperlink"/>
          </w:rPr>
          <w:t xml:space="preserve">Nosofsky, 1992</w:t>
        </w:r>
      </w:hyperlink>
      <w:r>
        <w:t xml:space="preserve">)</w:t>
      </w:r>
      <w:r>
        <w:t xml:space="preserve">, these distances were</w:t>
      </w:r>
      <w:r>
        <w:t xml:space="preserve"> </w:t>
      </w:r>
      <w:r>
        <w:t xml:space="preserve">multiplied by a sensitivity parameter, c, and then exponentiated to</w:t>
      </w:r>
      <w:r>
        <w:t xml:space="preserve"> </w:t>
      </w:r>
      <w:r>
        <w:t xml:space="preserve">yield a similarity value. The parameter c controls the rate with which</w:t>
      </w:r>
      <w:r>
        <w:t xml:space="preserve"> </w:t>
      </w:r>
      <w:r>
        <w:t xml:space="preserve">similarity-based generalization drops off as the Euclidean distance</w:t>
      </w:r>
      <w:r>
        <w:t xml:space="preserve"> </w:t>
      </w:r>
      <w:r>
        <w:t xml:space="preserve">between two throws in x- and y-velocity space increases. If c has a</w:t>
      </w:r>
      <w:r>
        <w:t xml:space="preserve"> </w:t>
      </w:r>
      <w:r>
        <w:t xml:space="preserve">large value, then even a small difference between two throws’ velocities</w:t>
      </w:r>
      <w:r>
        <w:t xml:space="preserve"> </w:t>
      </w:r>
      <w:r>
        <w:t xml:space="preserve">greatly decreases the extent of generalization from one to the other. A</w:t>
      </w:r>
      <w:r>
        <w:t xml:space="preserve"> </w:t>
      </w:r>
      <w:r>
        <w:t xml:space="preserve">small value for c produces broad generalization from one throw to</w:t>
      </w:r>
      <w:r>
        <w:t xml:space="preserve"> </w:t>
      </w:r>
      <w:r>
        <w:t xml:space="preserve">another despite relatively large differences in their velocities. The</w:t>
      </w:r>
      <w:r>
        <w:t xml:space="preserve"> </w:t>
      </w:r>
      <w:r>
        <w:t xml:space="preserve">similarity values for each training individual throw made by a given</w:t>
      </w:r>
      <w:r>
        <w:t xml:space="preserve"> </w:t>
      </w:r>
      <w:r>
        <w:t xml:space="preserve">participant were then summed to yield a final similarity score, with a</w:t>
      </w:r>
      <w:r>
        <w:t xml:space="preserve"> </w:t>
      </w:r>
      <w:r>
        <w:t xml:space="preserve">separate score computed for each of the 6 testing positions. The final</w:t>
      </w:r>
      <w:r>
        <w:t xml:space="preserve"> </w:t>
      </w:r>
      <w:r>
        <w:t xml:space="preserve">similarity score is construable as index of how accurate the throws a</w:t>
      </w:r>
      <w:r>
        <w:t xml:space="preserve"> </w:t>
      </w:r>
      <w:r>
        <w:t xml:space="preserve">participant made during the training phase would be for each of the</w:t>
      </w:r>
      <w:r>
        <w:t xml:space="preserve"> </w:t>
      </w:r>
      <w:r>
        <w:t xml:space="preserve">testing positions.</w:t>
      </w:r>
    </w:p>
    <w:p>
      <w:pPr>
        <w:pStyle w:val="BodyText"/>
      </w:pPr>
      <w:r>
        <w:rPr>
          <w:bCs/>
          <w:b/>
        </w:rPr>
        <w:t xml:space="preserve">Equation 1:</w:t>
      </w:r>
      <w:r>
        <w:t xml:space="preserve"> </w:t>
      </w:r>
      <w:r>
        <w:t xml:space="preserve">[ Similarity_{I,J} =</w:t>
      </w:r>
      <w:r>
        <w:t xml:space="preserve"> </w:t>
      </w:r>
      <w:r>
        <w:t xml:space="preserve">*</w:t>
      </w:r>
      <w:r>
        <w:t xml:space="preserve"> </w:t>
      </w:r>
      <w:r>
        <w:t xml:space="preserve">e</w:t>
      </w:r>
      <w:r>
        <w:rPr>
          <w:vertAlign w:val="superscript"/>
        </w:rPr>
        <w:t xml:space="preserve">{-c</w:t>
      </w:r>
      <w:r>
        <w:t xml:space="preserve">dp_{i,j}} ]</w:t>
      </w:r>
    </w:p>
    <w:p>
      <w:pPr>
        <w:pStyle w:val="BodyText"/>
      </w:pPr>
      <w:r>
        <w:rPr>
          <w:bCs/>
          <w:b/>
        </w:rPr>
        <w:t xml:space="preserve">Equation 2:</w:t>
      </w:r>
    </w:p>
    <w:p>
      <w:pPr>
        <w:pStyle w:val="BodyText"/>
      </w:pPr>
      <m:oMathPara>
        <m:oMathParaPr>
          <m:jc m:val="center"/>
        </m:oMathParaPr>
        <m:oMath>
          <m:sSub>
            <m:e>
              <m:r>
                <m:t>d</m:t>
              </m:r>
            </m:e>
            <m:sub>
              <m:r>
                <m:t>i</m:t>
              </m:r>
              <m:r>
                <m:rPr>
                  <m:sty m:val="p"/>
                </m:rPr>
                <m:t>,</m:t>
              </m:r>
              <m:r>
                <m:t>j</m:t>
              </m:r>
            </m:sub>
          </m:sSub>
          <m:r>
            <m:rPr>
              <m:sty m:val="p"/>
            </m:rPr>
            <m:t>=</m:t>
          </m:r>
          <m:rad>
            <m:radPr>
              <m:degHide m:val="1"/>
            </m:radPr>
            <m:deg/>
            <m:e>
              <m:sSup>
                <m:e>
                  <m:d>
                    <m:dPr>
                      <m:begChr m:val="("/>
                      <m:endChr m:val=")"/>
                      <m:sepChr m:val=""/>
                      <m:grow/>
                    </m:dPr>
                    <m:e>
                      <m:sSub>
                        <m:e>
                          <m:r>
                            <m:t>x</m:t>
                          </m:r>
                        </m:e>
                        <m:sub>
                          <m:r>
                            <m:t>T</m:t>
                          </m:r>
                          <m:r>
                            <m:t>r</m:t>
                          </m:r>
                          <m:r>
                            <m:t>a</m:t>
                          </m:r>
                          <m:r>
                            <m:t>i</m:t>
                          </m:r>
                          <m:sSub>
                            <m:e>
                              <m:r>
                                <m:t>n</m:t>
                              </m:r>
                            </m:e>
                            <m:sub>
                              <m:r>
                                <m:t>i</m:t>
                              </m:r>
                            </m:sub>
                          </m:sSub>
                        </m:sub>
                      </m:sSub>
                      <m:r>
                        <m:rPr>
                          <m:sty m:val="p"/>
                        </m:rPr>
                        <m:t>−</m:t>
                      </m:r>
                      <m:sSub>
                        <m:e>
                          <m:r>
                            <m:t>x</m:t>
                          </m:r>
                        </m:e>
                        <m:sub>
                          <m:r>
                            <m:t>S</m:t>
                          </m:r>
                          <m:r>
                            <m:t>o</m:t>
                          </m:r>
                          <m:r>
                            <m:t>l</m:t>
                          </m:r>
                          <m:r>
                            <m:t>u</m:t>
                          </m:r>
                          <m:r>
                            <m:t>t</m:t>
                          </m:r>
                          <m:r>
                            <m:t>i</m:t>
                          </m:r>
                          <m:r>
                            <m:t>o</m:t>
                          </m:r>
                          <m:sSub>
                            <m:e>
                              <m:r>
                                <m:t>n</m:t>
                              </m:r>
                            </m:e>
                            <m:sub>
                              <m:r>
                                <m:t>j</m:t>
                              </m:r>
                            </m:sub>
                          </m:sSub>
                        </m:sub>
                      </m:sSub>
                    </m:e>
                  </m:d>
                </m:e>
                <m:sup>
                  <m:r>
                    <m:t>2</m:t>
                  </m:r>
                </m:sup>
              </m:sSup>
              <m:r>
                <m:rPr>
                  <m:sty m:val="p"/>
                </m:rPr>
                <m:t>+</m:t>
              </m:r>
              <m:sSup>
                <m:e>
                  <m:d>
                    <m:dPr>
                      <m:begChr m:val="("/>
                      <m:endChr m:val=")"/>
                      <m:sepChr m:val=""/>
                      <m:grow/>
                    </m:dPr>
                    <m:e>
                      <m:sSub>
                        <m:e>
                          <m:r>
                            <m:t>y</m:t>
                          </m:r>
                        </m:e>
                        <m:sub>
                          <m:r>
                            <m:t>T</m:t>
                          </m:r>
                          <m:r>
                            <m:t>r</m:t>
                          </m:r>
                          <m:r>
                            <m:t>a</m:t>
                          </m:r>
                          <m:r>
                            <m:t>i</m:t>
                          </m:r>
                          <m:sSub>
                            <m:e>
                              <m:r>
                                <m:t>n</m:t>
                              </m:r>
                            </m:e>
                            <m:sub>
                              <m:r>
                                <m:t>i</m:t>
                              </m:r>
                            </m:sub>
                          </m:sSub>
                        </m:sub>
                      </m:sSub>
                      <m:r>
                        <m:rPr>
                          <m:sty m:val="p"/>
                        </m:rPr>
                        <m:t>−</m:t>
                      </m:r>
                      <m:sSub>
                        <m:e>
                          <m:r>
                            <m:t>y</m:t>
                          </m:r>
                        </m:e>
                        <m:sub>
                          <m:r>
                            <m:t>S</m:t>
                          </m:r>
                          <m:r>
                            <m:t>o</m:t>
                          </m:r>
                          <m:r>
                            <m:t>l</m:t>
                          </m:r>
                          <m:r>
                            <m:t>u</m:t>
                          </m:r>
                          <m:r>
                            <m:t>t</m:t>
                          </m:r>
                          <m:r>
                            <m:t>i</m:t>
                          </m:r>
                          <m:r>
                            <m:t>o</m:t>
                          </m:r>
                          <m:sSub>
                            <m:e>
                              <m:r>
                                <m:t>n</m:t>
                              </m:r>
                            </m:e>
                            <m:sub>
                              <m:r>
                                <m:t>j</m:t>
                              </m:r>
                            </m:sub>
                          </m:sSub>
                        </m:sub>
                      </m:sSub>
                    </m:e>
                  </m:d>
                </m:e>
                <m:sup>
                  <m:r>
                    <m:t>2</m:t>
                  </m:r>
                </m:sup>
              </m:sSup>
            </m:e>
          </m:rad>
        </m:oMath>
      </m:oMathPara>
    </w:p>
    <w:p>
      <w:pPr>
        <w:pStyle w:val="FirstParagraph"/>
      </w:pPr>
      <w:r>
        <w:t xml:space="preserve">A simple linear regression revealed that these similarity scores were</w:t>
      </w:r>
      <w:r>
        <w:t xml:space="preserve"> </w:t>
      </w:r>
      <w:r>
        <w:t xml:space="preserve">significantly predictive of performance in the transfer stage, t</w:t>
      </w:r>
      <w:r>
        <w:t xml:space="preserve"> </w:t>
      </w:r>
      <w:r>
        <w:t xml:space="preserve">=-15.88, p&lt;.01,</w:t>
      </w:r>
      <w:r>
        <w:t xml:space="preserve"> </w:t>
      </w:r>
      <m:oMath>
        <m:sSup>
          <m:e>
            <m:r>
              <m:t>r</m:t>
            </m:r>
          </m:e>
          <m:sup>
            <m:r>
              <m:t>2</m:t>
            </m:r>
          </m:sup>
        </m:sSup>
      </m:oMath>
      <w:r>
        <w:t xml:space="preserve">=.17, such that greater similarity between</w:t>
      </w:r>
      <w:r>
        <w:t xml:space="preserve"> </w:t>
      </w:r>
      <w:r>
        <w:t xml:space="preserve">training throws and solution spaces for each of the test locations</w:t>
      </w:r>
      <w:r>
        <w:t xml:space="preserve"> </w:t>
      </w:r>
      <w:r>
        <w:t xml:space="preserve">resulted in better performance. We then repeated the group comparisons</w:t>
      </w:r>
      <w:r>
        <w:t xml:space="preserve"> </w:t>
      </w:r>
      <w:r>
        <w:t xml:space="preserve">above while including similarity as a covariate in the model. Comparing</w:t>
      </w:r>
      <w:r>
        <w:t xml:space="preserve"> </w:t>
      </w:r>
      <w:r>
        <w:t xml:space="preserve">the varied and constant groups in testing performance from all testing</w:t>
      </w:r>
      <w:r>
        <w:t xml:space="preserve"> </w:t>
      </w:r>
      <w:r>
        <w:t xml:space="preserve">positions yielded a significant effect of similarity, F(1, 205)=85.66,</w:t>
      </w:r>
      <w:r>
        <w:t xml:space="preserve"> </w:t>
      </w:r>
      <w:r>
        <w:t xml:space="preserve">p&lt;.001,</w:t>
      </w:r>
      <w:r>
        <w:t xml:space="preserve"> </w:t>
      </w:r>
      <m:oMath>
        <m:sSubSup>
          <m:e>
            <m:r>
              <m:t>η</m:t>
            </m:r>
          </m:e>
          <m:sub>
            <m:r>
              <m:t>G</m:t>
            </m:r>
          </m:sub>
          <m:sup>
            <m:r>
              <m:t>2</m:t>
            </m:r>
          </m:sup>
        </m:sSubSup>
      </m:oMath>
      <w:r>
        <w:t xml:space="preserve"> </w:t>
      </w:r>
      <w:r>
        <w:t xml:space="preserve">=.29, and also a significant effect of condition</w:t>
      </w:r>
      <w:r>
        <w:t xml:space="preserve"> </w:t>
      </w:r>
      <w:r>
        <w:t xml:space="preserve">(varied vs. constant), F(1, 205)=6.03, p=.015,</w:t>
      </w:r>
      <w:r>
        <w:t xml:space="preserve"> </w:t>
      </w:r>
      <m:oMath>
        <m:sSubSup>
          <m:e>
            <m:r>
              <m:t>η</m:t>
            </m:r>
          </m:e>
          <m:sub>
            <m:r>
              <m:t>G</m:t>
            </m:r>
          </m:sub>
          <m:sup>
            <m:r>
              <m:t>2</m:t>
            </m:r>
          </m:sup>
        </m:sSubSup>
      </m:oMath>
      <w:r>
        <w:t xml:space="preserve"> </w:t>
      </w:r>
      <w:r>
        <w:t xml:space="preserve">=.03. The</w:t>
      </w:r>
      <w:r>
        <w:t xml:space="preserve"> </w:t>
      </w:r>
      <w:r>
        <w:t xml:space="preserve">group comparison limited to only novel locations for the varied group</w:t>
      </w:r>
      <w:r>
        <w:t xml:space="preserve"> </w:t>
      </w:r>
      <w:r>
        <w:t xml:space="preserve">pit against trained location for the constant group resulted in a</w:t>
      </w:r>
      <w:r>
        <w:t xml:space="preserve"> </w:t>
      </w:r>
      <w:r>
        <w:t xml:space="preserve">significant effect of similarity, F(1,148)=31.12, p&lt;.001,</w:t>
      </w:r>
      <w:r>
        <w:t xml:space="preserve"> </w:t>
      </w:r>
      <m:oMath>
        <m:sSubSup>
          <m:e>
            <m:r>
              <m:t>η</m:t>
            </m:r>
          </m:e>
          <m:sub>
            <m:r>
              <m:t>G</m:t>
            </m:r>
          </m:sub>
          <m:sup>
            <m:r>
              <m:t>2</m:t>
            </m:r>
          </m:sup>
        </m:sSubSup>
      </m:oMath>
      <w:r>
        <w:t xml:space="preserve"> </w:t>
      </w:r>
      <w:r>
        <w:t xml:space="preserve">=.18 as well as for condition F(1,148)=11.55, p&lt;.001,</w:t>
      </w:r>
      <w:r>
        <w:t xml:space="preserve"> </w:t>
      </w:r>
      <m:oMath>
        <m:sSubSup>
          <m:e>
            <m:r>
              <m:t>η</m:t>
            </m:r>
          </m:e>
          <m:sub>
            <m:r>
              <m:t>G</m:t>
            </m:r>
          </m:sub>
          <m:sup>
            <m:r>
              <m:t>2</m:t>
            </m:r>
          </m:sup>
        </m:sSubSup>
      </m:oMath>
      <w:r>
        <w:t xml:space="preserve"> </w:t>
      </w:r>
      <w:r>
        <w:t xml:space="preserve">=.07. For all comparisons, the pattern of results was consistent with</w:t>
      </w:r>
      <w:r>
        <w:t xml:space="preserve"> </w:t>
      </w:r>
      <w:r>
        <w:t xml:space="preserve">the initial findings from experiment 2, with the varied group still</w:t>
      </w:r>
      <w:r>
        <w:t xml:space="preserve"> </w:t>
      </w:r>
      <w:r>
        <w:t xml:space="preserve">performing significantly better than the constant group.</w:t>
      </w:r>
    </w:p>
    <w:bookmarkStart w:id="74" w:name="X87ee2e65ee410ae3c6ad39a9be279f6655607e7"/>
    <w:p>
      <w:pPr>
        <w:pStyle w:val="Heading4"/>
      </w:pPr>
      <w:r>
        <w:t xml:space="preserve">Fitting model parameters separately by group</w:t>
      </w:r>
    </w:p>
    <w:p>
      <w:pPr>
        <w:pStyle w:val="FirstParagraph"/>
      </w:pPr>
      <w:r>
        <w:t xml:space="preserve">To directly control for similarity in Experiment 2, we developed a</w:t>
      </w:r>
      <w:r>
        <w:t xml:space="preserve"> </w:t>
      </w:r>
      <w:r>
        <w:t xml:space="preserve">model-based measure of the similarity between training throws and</w:t>
      </w:r>
      <w:r>
        <w:t xml:space="preserve"> </w:t>
      </w:r>
      <w:r>
        <w:t xml:space="preserve">testing conditions. This similarity measure was a significant predictor</w:t>
      </w:r>
      <w:r>
        <w:t xml:space="preserve"> </w:t>
      </w:r>
      <w:r>
        <w:t xml:space="preserve">of testing performance, e.g., participants whose training throws were</w:t>
      </w:r>
      <w:r>
        <w:t xml:space="preserve"> </w:t>
      </w:r>
      <w:r>
        <w:t xml:space="preserve">more similar to throws that resulted in target hits from the testing</w:t>
      </w:r>
      <w:r>
        <w:t xml:space="preserve"> </w:t>
      </w:r>
      <w:r>
        <w:t xml:space="preserve">positions, tended to perform better during the testing phase.</w:t>
      </w:r>
      <w:r>
        <w:t xml:space="preserve"> </w:t>
      </w:r>
      <w:r>
        <w:t xml:space="preserve">Importantly, the similarity measure did not explain away the group-level</w:t>
      </w:r>
      <w:r>
        <w:t xml:space="preserve"> </w:t>
      </w:r>
      <w:r>
        <w:t xml:space="preserve">benefits of varied training, which remained significant in our linear</w:t>
      </w:r>
      <w:r>
        <w:t xml:space="preserve"> </w:t>
      </w:r>
      <w:r>
        <w:t xml:space="preserve">model predicting testing performance after similarity was added to the</w:t>
      </w:r>
      <w:r>
        <w:t xml:space="preserve"> </w:t>
      </w:r>
      <w:r>
        <w:t xml:space="preserve">model. However, previous research has suggested that participants may</w:t>
      </w:r>
      <w:r>
        <w:t xml:space="preserve"> </w:t>
      </w:r>
      <w:r>
        <w:t xml:space="preserve">differ in their level of generalization as a function of prior</w:t>
      </w:r>
      <w:r>
        <w:t xml:space="preserve"> </w:t>
      </w:r>
      <w:r>
        <w:t xml:space="preserve">experience, and that such differences in generalization gradients can be</w:t>
      </w:r>
      <w:r>
        <w:t xml:space="preserve"> </w:t>
      </w:r>
      <w:r>
        <w:t xml:space="preserve">captured by fitting the generalization parameter of an instance-based</w:t>
      </w:r>
      <w:r>
        <w:t xml:space="preserve"> </w:t>
      </w:r>
      <w:r>
        <w:t xml:space="preserve">model separately to each group</w:t>
      </w:r>
      <w:r>
        <w:t xml:space="preserve"> </w:t>
      </w:r>
      <w:r>
        <w:t xml:space="preserve">(</w:t>
      </w:r>
      <w:hyperlink w:anchor="ref-hahnEffectsCategoryDiversity2005">
        <w:r>
          <w:rPr>
            <w:rStyle w:val="Hyperlink"/>
          </w:rPr>
          <w:t xml:space="preserve">Hahn et al., 2005</w:t>
        </w:r>
      </w:hyperlink>
      <w:r>
        <w:t xml:space="preserve">;</w:t>
      </w:r>
      <w:r>
        <w:t xml:space="preserve"> </w:t>
      </w:r>
      <w:hyperlink w:anchor="ref-lambertsFlexibleTuningSimilarity1994">
        <w:r>
          <w:rPr>
            <w:rStyle w:val="Hyperlink"/>
          </w:rPr>
          <w:t xml:space="preserve">Lamberts, 1994</w:t>
        </w:r>
      </w:hyperlink>
      <w:r>
        <w:t xml:space="preserve">)</w:t>
      </w:r>
      <w:r>
        <w:t xml:space="preserve">.</w:t>
      </w:r>
      <w:r>
        <w:t xml:space="preserve"> </w:t>
      </w:r>
      <w:r>
        <w:t xml:space="preserve">Relatedly, the influential Bayesian generalization model developed by</w:t>
      </w:r>
      <w:r>
        <w:t xml:space="preserve"> </w:t>
      </w:r>
      <w:r>
        <w:t xml:space="preserve">Tenenbaum &amp; Griffiths (</w:t>
      </w:r>
      <w:hyperlink w:anchor="X03164288fbe6d761b530723d503a71767864c64">
        <w:r>
          <w:rPr>
            <w:rStyle w:val="Hyperlink"/>
          </w:rPr>
          <w:t xml:space="preserve">2001</w:t>
        </w:r>
      </w:hyperlink>
      <w:r>
        <w:t xml:space="preserve">)</w:t>
      </w:r>
      <w:r>
        <w:t xml:space="preserve"> </w:t>
      </w:r>
      <w:r>
        <w:t xml:space="preserve">predicts that the breadth of generalization</w:t>
      </w:r>
      <w:r>
        <w:t xml:space="preserve"> </w:t>
      </w:r>
      <w:r>
        <w:t xml:space="preserve">will increase when a rational agent encounters a wider variety of</w:t>
      </w:r>
      <w:r>
        <w:t xml:space="preserve"> </w:t>
      </w:r>
      <w:r>
        <w:t xml:space="preserve">examples. Following these leads, we assume that in addition to learning</w:t>
      </w:r>
      <w:r>
        <w:t xml:space="preserve"> </w:t>
      </w:r>
      <w:r>
        <w:t xml:space="preserve">the task itself, participants are also adjusting how generalizable their</w:t>
      </w:r>
      <w:r>
        <w:t xml:space="preserve"> </w:t>
      </w:r>
      <w:r>
        <w:t xml:space="preserve">experience should be. Varied versus constant participants may be</w:t>
      </w:r>
      <w:r>
        <w:t xml:space="preserve"> </w:t>
      </w:r>
      <w:r>
        <w:t xml:space="preserve">expected to learn to generalize their experience to different degrees.</w:t>
      </w:r>
      <w:r>
        <w:t xml:space="preserve"> </w:t>
      </w:r>
      <w:r>
        <w:t xml:space="preserve">To accommodate this difference, the generalization parameter of the</w:t>
      </w:r>
      <w:r>
        <w:t xml:space="preserve"> </w:t>
      </w:r>
      <w:r>
        <w:t xml:space="preserve">instance-based model (in the present case, the c parameter) can be</w:t>
      </w:r>
      <w:r>
        <w:t xml:space="preserve"> </w:t>
      </w:r>
      <w:r>
        <w:t xml:space="preserve">allowed to vary between the two groups to reflect the tendency of</w:t>
      </w:r>
      <w:r>
        <w:t xml:space="preserve"> </w:t>
      </w:r>
      <w:r>
        <w:t xml:space="preserve">learners to adaptively tune the extent of their generalization. One</w:t>
      </w:r>
      <w:r>
        <w:t xml:space="preserve"> </w:t>
      </w:r>
      <w:r>
        <w:t xml:space="preserve">specific hypothesis is that people adaptively set a value of c to fit</w:t>
      </w:r>
      <w:r>
        <w:t xml:space="preserve"> </w:t>
      </w:r>
      <w:r>
        <w:t xml:space="preserve">the variability of their training experience</w:t>
      </w:r>
      <w:r>
        <w:t xml:space="preserve"> </w:t>
      </w:r>
      <w:r>
        <w:t xml:space="preserve">(</w:t>
      </w:r>
      <w:hyperlink w:anchor="Xb2e0c02fa97228815a5a3bbae8ffa9cce6c2184">
        <w:r>
          <w:rPr>
            <w:rStyle w:val="Hyperlink"/>
          </w:rPr>
          <w:t xml:space="preserve">Nosofsky &amp; Johansen, 2000</w:t>
        </w:r>
      </w:hyperlink>
      <w:r>
        <w:t xml:space="preserve">;</w:t>
      </w:r>
      <w:r>
        <w:t xml:space="preserve"> </w:t>
      </w:r>
      <w:hyperlink w:anchor="Xf1d03c8e78c2da82ff37104161b8190293de477">
        <w:r>
          <w:rPr>
            <w:rStyle w:val="Hyperlink"/>
          </w:rPr>
          <w:t xml:space="preserve">Sakamoto et al., 2006</w:t>
        </w:r>
      </w:hyperlink>
      <w:r>
        <w:t xml:space="preserve">)</w:t>
      </w:r>
      <w:r>
        <w:t xml:space="preserve">. If one’s training experience is relatively</w:t>
      </w:r>
      <w:r>
        <w:t xml:space="preserve"> </w:t>
      </w:r>
      <w:r>
        <w:t xml:space="preserve">variable, as with the variable training condition, then one might infer</w:t>
      </w:r>
      <w:r>
        <w:t xml:space="preserve"> </w:t>
      </w:r>
      <w:r>
        <w:t xml:space="preserve">that future test situations will also be variable, in which case a low</w:t>
      </w:r>
      <w:r>
        <w:t xml:space="preserve"> </w:t>
      </w:r>
      <w:r>
        <w:t xml:space="preserve">value of c will allow better generalization because generalization will</w:t>
      </w:r>
      <w:r>
        <w:t xml:space="preserve"> </w:t>
      </w:r>
      <w:r>
        <w:t xml:space="preserve">drop off slowly with training-to-testing distance. Conversely, if one’s</w:t>
      </w:r>
      <w:r>
        <w:t xml:space="preserve"> </w:t>
      </w:r>
      <w:r>
        <w:t xml:space="preserve">training experience has little variability, as found in the constant</w:t>
      </w:r>
      <w:r>
        <w:t xml:space="preserve"> </w:t>
      </w:r>
      <w:r>
        <w:t xml:space="preserve">training conditions, then one might adopt a high value of c so that</w:t>
      </w:r>
      <w:r>
        <w:t xml:space="preserve"> </w:t>
      </w:r>
      <w:r>
        <w:t xml:space="preserve">generalization falls off rapidly away from the trained positions.</w:t>
      </w:r>
    </w:p>
    <w:p>
      <w:pPr>
        <w:pStyle w:val="BodyText"/>
      </w:pPr>
      <w:r>
        <w:t xml:space="preserve">To address this possibility, we compared the original instance-based</w:t>
      </w:r>
      <w:r>
        <w:t xml:space="preserve"> </w:t>
      </w:r>
      <w:r>
        <w:t xml:space="preserve">model of similarity fit against a modified model which separately fits</w:t>
      </w:r>
      <w:r>
        <w:t xml:space="preserve"> </w:t>
      </w:r>
      <w:r>
        <w:t xml:space="preserve">the generalization parameter, c, to varied and constant participants. To</w:t>
      </w:r>
      <w:r>
        <w:t xml:space="preserve"> </w:t>
      </w:r>
      <w:r>
        <w:t xml:space="preserve">perform this parameter fitting, we used the optim function in R, and fit</w:t>
      </w:r>
      <w:r>
        <w:t xml:space="preserve"> </w:t>
      </w:r>
      <w:r>
        <w:t xml:space="preserve">the model to find the c value(s) that maximized the correlation between</w:t>
      </w:r>
      <w:r>
        <w:t xml:space="preserve"> </w:t>
      </w:r>
      <w:r>
        <w:t xml:space="preserve">similarity and testing performance.</w:t>
      </w:r>
    </w:p>
    <w:p>
      <w:pPr>
        <w:pStyle w:val="BodyText"/>
      </w:pPr>
      <w:r>
        <w:t xml:space="preserve">Both models generate distinct similarity values between training and</w:t>
      </w:r>
      <w:r>
        <w:t xml:space="preserve"> </w:t>
      </w:r>
      <w:r>
        <w:t xml:space="preserve">testing locations. Much like the analyses in Experiment 2, these</w:t>
      </w:r>
      <w:r>
        <w:t xml:space="preserve"> </w:t>
      </w:r>
      <w:r>
        <w:t xml:space="preserve">similarity values are regressed against testing performance in models of</w:t>
      </w:r>
      <w:r>
        <w:t xml:space="preserve"> </w:t>
      </w:r>
      <w:r>
        <w:t xml:space="preserve">the form shown below. As was the case previously, testing performance is</w:t>
      </w:r>
      <w:r>
        <w:t xml:space="preserve"> </w:t>
      </w:r>
      <w:r>
        <w:t xml:space="preserve">defined as the mean absolute distance from the center of the target</w:t>
      </w:r>
      <w:r>
        <w:t xml:space="preserve"> </w:t>
      </w:r>
      <w:r>
        <w:t xml:space="preserve">(with a separate score for each participant, from each position).</w:t>
      </w:r>
    </w:p>
    <w:p>
      <w:pPr>
        <w:pStyle w:val="BodyText"/>
      </w:pPr>
      <w:r>
        <w:t xml:space="preserve">Linear models 1 and 3 both show that similarity is a significant</w:t>
      </w:r>
      <w:r>
        <w:t xml:space="preserve"> </w:t>
      </w:r>
      <w:r>
        <w:t xml:space="preserve">predictor of testing performance (p&lt;.01). Of greater interest is the</w:t>
      </w:r>
      <w:r>
        <w:t xml:space="preserve"> </w:t>
      </w:r>
      <w:r>
        <w:t xml:space="preserve">difference between linear model 2, in which similarity is computed from</w:t>
      </w:r>
      <w:r>
        <w:t xml:space="preserve"> </w:t>
      </w:r>
      <w:r>
        <w:t xml:space="preserve">a single c value fit from all participants (Similarity1c), with linear</w:t>
      </w:r>
      <w:r>
        <w:t xml:space="preserve"> </w:t>
      </w:r>
      <w:r>
        <w:t xml:space="preserve">model 4, which fits the c parameter separately between groups</w:t>
      </w:r>
      <w:r>
        <w:t xml:space="preserve"> </w:t>
      </w:r>
      <w:r>
        <w:t xml:space="preserve">(Similarity2c). In linear model 2, the effect of training group remains</w:t>
      </w:r>
      <w:r>
        <w:t xml:space="preserve"> </w:t>
      </w:r>
      <w:r>
        <w:t xml:space="preserve">significant when controlling for Similarity1c (p&lt;.01), with the varied</w:t>
      </w:r>
      <w:r>
        <w:t xml:space="preserve"> </w:t>
      </w:r>
      <w:r>
        <w:t xml:space="preserve">group still performing significantly better. However, in linear model 4</w:t>
      </w:r>
      <w:r>
        <w:t xml:space="preserve"> </w:t>
      </w:r>
      <w:r>
        <w:t xml:space="preserve">the addition of the Similarity2c predictor results in the effect of</w:t>
      </w:r>
      <w:r>
        <w:t xml:space="preserve"> </w:t>
      </w:r>
      <w:r>
        <w:t xml:space="preserve">training group becoming nonsignificant (p=.40), suggesting that the</w:t>
      </w:r>
      <w:r>
        <w:t xml:space="preserve"> </w:t>
      </w:r>
      <w:r>
        <w:t xml:space="preserve">effect of varied vs. constant training is accounted for by the</w:t>
      </w:r>
      <w:r>
        <w:t xml:space="preserve"> </w:t>
      </w:r>
      <w:r>
        <w:t xml:space="preserve">Similarity2c predictor. Next, to further establish a difference between</w:t>
      </w:r>
      <w:r>
        <w:t xml:space="preserve"> </w:t>
      </w:r>
      <w:r>
        <w:t xml:space="preserve">the models, we performed nested model comparisons using ANOVA, to see if</w:t>
      </w:r>
      <w:r>
        <w:t xml:space="preserve"> </w:t>
      </w:r>
      <w:r>
        <w:t xml:space="preserve">the addition of the training group parameter led to a significant</w:t>
      </w:r>
      <w:r>
        <w:t xml:space="preserve"> </w:t>
      </w:r>
      <w:r>
        <w:t xml:space="preserve">improvement in model performance. In the first comparison, ANOVA(Linear</w:t>
      </w:r>
      <w:r>
        <w:t xml:space="preserve"> </w:t>
      </w:r>
      <w:r>
        <w:t xml:space="preserve">Model 1, Linear Model 2), the addition of the training group predictor</w:t>
      </w:r>
      <w:r>
        <w:t xml:space="preserve"> </w:t>
      </w:r>
      <w:r>
        <w:t xml:space="preserve">significantly improved the performance of the model (F=22.07, p&lt;.01).</w:t>
      </w:r>
      <w:r>
        <w:t xml:space="preserve"> </w:t>
      </w:r>
      <w:r>
        <w:t xml:space="preserve">However, in the second model comparison, ANOVA (Linear model 3, Linear</w:t>
      </w:r>
      <w:r>
        <w:t xml:space="preserve"> </w:t>
      </w:r>
      <w:r>
        <w:t xml:space="preserve">Model 4) found no improvement in model performance with the addition of</w:t>
      </w:r>
      <w:r>
        <w:t xml:space="preserve"> </w:t>
      </w:r>
      <w:r>
        <w:t xml:space="preserve">the training group predictor (F=1.61, p=.20).</w:t>
      </w:r>
    </w:p>
    <w:p>
      <w:pPr>
        <w:pStyle w:val="BodyText"/>
      </w:pPr>
      <w:r>
        <w:t xml:space="preserve">Finally, we sought to confirm that similarity values generated from the</w:t>
      </w:r>
      <w:r>
        <w:t xml:space="preserve"> </w:t>
      </w:r>
      <w:r>
        <w:t xml:space="preserve">adjusted Similarity2c model had more predictive power than those</w:t>
      </w:r>
      <w:r>
        <w:t xml:space="preserve"> </w:t>
      </w:r>
      <w:r>
        <w:t xml:space="preserve">generated from the original Similarity1c model. Using the BIC function</w:t>
      </w:r>
      <w:r>
        <w:t xml:space="preserve"> </w:t>
      </w:r>
      <w:r>
        <w:t xml:space="preserve">in R, we compared BIC values between linear model 1 (BIC=14604.00) and</w:t>
      </w:r>
      <w:r>
        <w:t xml:space="preserve"> </w:t>
      </w:r>
      <w:r>
        <w:t xml:space="preserve">linear model 3 (BIC = 14587.64). The lower BIC value of model 3 suggests</w:t>
      </w:r>
      <w:r>
        <w:t xml:space="preserve"> </w:t>
      </w:r>
      <w:r>
        <w:t xml:space="preserve">a modest advantage for predicting performance using a similarity measure</w:t>
      </w:r>
      <w:r>
        <w:t xml:space="preserve"> </w:t>
      </w:r>
      <w:r>
        <w:t xml:space="preserve">computed with two c values over similarity computed with a single c</w:t>
      </w:r>
      <w:r>
        <w:t xml:space="preserve"> </w:t>
      </w:r>
      <w:r>
        <w:t xml:space="preserve">value. When fit with separate c values, the best fitting c parameters</w:t>
      </w:r>
      <w:r>
        <w:t xml:space="preserve"> </w:t>
      </w:r>
      <w:r>
        <w:t xml:space="preserve">for the model consistently optimized such that the c value for the</w:t>
      </w:r>
      <w:r>
        <w:t xml:space="preserve"> </w:t>
      </w:r>
      <w:r>
        <w:t xml:space="preserve">varied group (c=.00008) was smaller in magnitude than the c value for</w:t>
      </w:r>
      <w:r>
        <w:t xml:space="preserve"> </w:t>
      </w:r>
      <w:r>
        <w:t xml:space="preserve">the constant group(c= .00011). Recall that similarity decreases as a</w:t>
      </w:r>
      <w:r>
        <w:t xml:space="preserve"> </w:t>
      </w:r>
      <w:r>
        <w:t xml:space="preserve">Gaussian function of distance (equation 1 above), and a smaller value of</w:t>
      </w:r>
      <w:r>
        <w:t xml:space="preserve"> </w:t>
      </w:r>
      <w:r>
        <w:t xml:space="preserve">c will result in a more gradual drop-off in similarity as the distance</w:t>
      </w:r>
      <w:r>
        <w:t xml:space="preserve"> </w:t>
      </w:r>
      <w:r>
        <w:t xml:space="preserve">between training throws and testing solutions increases.</w:t>
      </w:r>
    </w:p>
    <w:p>
      <w:pPr>
        <w:pStyle w:val="BodyText"/>
      </w:pPr>
      <w:r>
        <w:t xml:space="preserve">In summary, our modeling suggests that an instance-based model which</w:t>
      </w:r>
      <w:r>
        <w:t xml:space="preserve"> </w:t>
      </w:r>
      <w:r>
        <w:t xml:space="preserve">assumes equivalent generalization gradients between constant and varied</w:t>
      </w:r>
      <w:r>
        <w:t xml:space="preserve"> </w:t>
      </w:r>
      <w:r>
        <w:t xml:space="preserve">trained participants is unable to account for the extent of benefits of</w:t>
      </w:r>
      <w:r>
        <w:t xml:space="preserve"> </w:t>
      </w:r>
      <w:r>
        <w:t xml:space="preserve">varied over constant training observed at testing. The evidence for this</w:t>
      </w:r>
      <w:r>
        <w:t xml:space="preserve"> </w:t>
      </w:r>
      <w:r>
        <w:t xml:space="preserve">in the comparative model fits is that when a varied/constant dummy-coded</w:t>
      </w:r>
      <w:r>
        <w:t xml:space="preserve"> </w:t>
      </w:r>
      <w:r>
        <w:t xml:space="preserve">variable for condition is explicitly added to the model, the variable</w:t>
      </w:r>
      <w:r>
        <w:t xml:space="preserve"> </w:t>
      </w:r>
      <w:r>
        <w:t xml:space="preserve">adds a significant contribution to the prediction of test performance,</w:t>
      </w:r>
      <w:r>
        <w:t xml:space="preserve"> </w:t>
      </w:r>
      <w:r>
        <w:t xml:space="preserve">with the variable condition yielding better performance than the</w:t>
      </w:r>
      <w:r>
        <w:t xml:space="preserve"> </w:t>
      </w:r>
      <w:r>
        <w:t xml:space="preserve">constant conditions. However, if the instance-based generalization model</w:t>
      </w:r>
      <w:r>
        <w:t xml:space="preserve"> </w:t>
      </w:r>
      <w:r>
        <w:t xml:space="preserve">is modified to assume that the training groups can differ in the</w:t>
      </w:r>
      <w:r>
        <w:t xml:space="preserve"> </w:t>
      </w:r>
      <w:r>
        <w:t xml:space="preserve">steepness of their generalization gradient, by incorporating a separate</w:t>
      </w:r>
      <w:r>
        <w:t xml:space="preserve"> </w:t>
      </w:r>
      <w:r>
        <w:t xml:space="preserve">generalization parameter for each group, then the instance-based model</w:t>
      </w:r>
      <w:r>
        <w:t xml:space="preserve"> </w:t>
      </w:r>
      <w:r>
        <w:t xml:space="preserve">can account for our experimental results without explicitly taking</w:t>
      </w:r>
      <w:r>
        <w:t xml:space="preserve"> </w:t>
      </w:r>
      <w:r>
        <w:t xml:space="preserve">training group into account. Henceforth this model will be referred to</w:t>
      </w:r>
      <w:r>
        <w:t xml:space="preserve"> </w:t>
      </w:r>
      <w:r>
        <w:t xml:space="preserve">as the Instance-based Generalization with Adaptive Similarity (IGAS)</w:t>
      </w:r>
      <w:r>
        <w:t xml:space="preserve"> </w:t>
      </w:r>
      <w:r>
        <w:t xml:space="preserve">model.</w:t>
      </w:r>
    </w:p>
    <w:bookmarkEnd w:id="74"/>
    <w:bookmarkEnd w:id="75"/>
    <w:bookmarkStart w:id="77" w:name="general-discussion"/>
    <w:p>
      <w:pPr>
        <w:pStyle w:val="Heading3"/>
      </w:pPr>
      <w:r>
        <w:t xml:space="preserve">General Discussion</w:t>
      </w:r>
    </w:p>
    <w:p>
      <w:pPr>
        <w:pStyle w:val="FirstParagraph"/>
      </w:pPr>
      <w:r>
        <w:t xml:space="preserve">Across two experiments, we found evidence in support of the benefits of</w:t>
      </w:r>
      <w:r>
        <w:t xml:space="preserve"> </w:t>
      </w:r>
      <w:r>
        <w:t xml:space="preserve">variability hypothesis in a simple, computerized projectile throwing</w:t>
      </w:r>
      <w:r>
        <w:t xml:space="preserve"> </w:t>
      </w:r>
      <w:r>
        <w:t xml:space="preserve">task. Generalization was observed in both constant and varied</w:t>
      </w:r>
      <w:r>
        <w:t xml:space="preserve"> </w:t>
      </w:r>
      <w:r>
        <w:t xml:space="preserve">participants, in that both groups tended to perform better at novel</w:t>
      </w:r>
      <w:r>
        <w:t xml:space="preserve"> </w:t>
      </w:r>
      <w:r>
        <w:t xml:space="preserve">positions in the testing phase than did participants who started with</w:t>
      </w:r>
      <w:r>
        <w:t xml:space="preserve"> </w:t>
      </w:r>
      <w:r>
        <w:t xml:space="preserve">those positions in the training phase. However, varied trained</w:t>
      </w:r>
      <w:r>
        <w:t xml:space="preserve"> </w:t>
      </w:r>
      <w:r>
        <w:t xml:space="preserve">participants consistently performed better than constant trained</w:t>
      </w:r>
      <w:r>
        <w:t xml:space="preserve"> </w:t>
      </w:r>
      <w:r>
        <w:t xml:space="preserve">participants, in terms of both the testing phase in general, and in a</w:t>
      </w:r>
      <w:r>
        <w:t xml:space="preserve"> </w:t>
      </w:r>
      <w:r>
        <w:t xml:space="preserve">comparison that only included untrained positions. We also found some</w:t>
      </w:r>
      <w:r>
        <w:t xml:space="preserve"> </w:t>
      </w:r>
      <w:r>
        <w:t xml:space="preserve">evidence for the less commonly observed pattern wherein varied-trained</w:t>
      </w:r>
      <w:r>
        <w:t xml:space="preserve"> </w:t>
      </w:r>
      <w:r>
        <w:t xml:space="preserve">participants outperform constant-trained participants even from</w:t>
      </w:r>
      <w:r>
        <w:t xml:space="preserve"> </w:t>
      </w:r>
      <w:r>
        <w:t xml:space="preserve">conditions identical to the constant group training</w:t>
      </w:r>
      <w:r>
        <w:t xml:space="preserve"> </w:t>
      </w:r>
      <w:r>
        <w:t xml:space="preserve">(</w:t>
      </w:r>
      <w:hyperlink w:anchor="ref-goodeSuperiorityVariableRepeated2008">
        <w:r>
          <w:rPr>
            <w:rStyle w:val="Hyperlink"/>
          </w:rPr>
          <w:t xml:space="preserve">Goode et al., 2008</w:t>
        </w:r>
      </w:hyperlink>
      <w:r>
        <w:t xml:space="preserve">;</w:t>
      </w:r>
      <w:r>
        <w:t xml:space="preserve"> </w:t>
      </w:r>
      <w:hyperlink w:anchor="X7b3504012b6fd1a5c5c468378db0668b06afb06">
        <w:r>
          <w:rPr>
            <w:rStyle w:val="Hyperlink"/>
          </w:rPr>
          <w:t xml:space="preserve">Green et al., 1995</w:t>
        </w:r>
      </w:hyperlink>
      <w:r>
        <w:t xml:space="preserve">;</w:t>
      </w:r>
      <w:r>
        <w:t xml:space="preserve"> </w:t>
      </w:r>
      <w:hyperlink w:anchor="ref-kerrSpecificVariedPractice1978">
        <w:r>
          <w:rPr>
            <w:rStyle w:val="Hyperlink"/>
          </w:rPr>
          <w:t xml:space="preserve">Kerr &amp; Booth, 1978</w:t>
        </w:r>
      </w:hyperlink>
      <w:r>
        <w:t xml:space="preserve">)</w:t>
      </w:r>
      <w:r>
        <w:t xml:space="preserve">. In experiment 1 varied</w:t>
      </w:r>
      <w:r>
        <w:t xml:space="preserve"> </w:t>
      </w:r>
      <w:r>
        <w:t xml:space="preserve">participants performed significantly better on this identity comparison.</w:t>
      </w:r>
      <w:r>
        <w:t xml:space="preserve"> </w:t>
      </w:r>
      <w:r>
        <w:t xml:space="preserve">In Experiment 2, the comparison was not significant initially, but</w:t>
      </w:r>
      <w:r>
        <w:t xml:space="preserve"> </w:t>
      </w:r>
      <w:r>
        <w:t xml:space="preserve">became significant after controlling for the similarity measure that</w:t>
      </w:r>
      <w:r>
        <w:t xml:space="preserve"> </w:t>
      </w:r>
      <w:r>
        <w:t xml:space="preserve">incorporates only a single value for the steepness of similarity-based</w:t>
      </w:r>
      <w:r>
        <w:t xml:space="preserve"> </w:t>
      </w:r>
      <w:r>
        <w:t xml:space="preserve">generalization (c). Furthermore, we showed that the general pattern of</w:t>
      </w:r>
      <w:r>
        <w:t xml:space="preserve"> </w:t>
      </w:r>
      <w:r>
        <w:t xml:space="preserve">results from Experiment 2 could be parsimoniously accommodated by an</w:t>
      </w:r>
      <w:r>
        <w:t xml:space="preserve"> </w:t>
      </w:r>
      <w:r>
        <w:t xml:space="preserve">instance-based similarity model, but only with the assumption that</w:t>
      </w:r>
      <w:r>
        <w:t xml:space="preserve"> </w:t>
      </w:r>
      <w:r>
        <w:t xml:space="preserve">constant and varied participants generalize their training experience to</w:t>
      </w:r>
      <w:r>
        <w:t xml:space="preserve"> </w:t>
      </w:r>
      <w:r>
        <w:t xml:space="preserve">different degrees. Our results thus suggest that the benefits of</w:t>
      </w:r>
      <w:r>
        <w:t xml:space="preserve"> </w:t>
      </w:r>
      <w:r>
        <w:t xml:space="preserve">variation cannot be explained by the varied-trained participants simply</w:t>
      </w:r>
      <w:r>
        <w:t xml:space="preserve"> </w:t>
      </w:r>
      <w:r>
        <w:t xml:space="preserve">covering a broader range of the task space. Rather, the modeling</w:t>
      </w:r>
      <w:r>
        <w:t xml:space="preserve"> </w:t>
      </w:r>
      <w:r>
        <w:t xml:space="preserve">suggests that varied participants also learn to adaptively tune their</w:t>
      </w:r>
      <w:r>
        <w:t xml:space="preserve"> </w:t>
      </w:r>
      <w:r>
        <w:t xml:space="preserve">generalization function such that throwing locations generalize more</w:t>
      </w:r>
      <w:r>
        <w:t xml:space="preserve"> </w:t>
      </w:r>
      <w:r>
        <w:t xml:space="preserve">broadly to one another than they do in the constant condition. A</w:t>
      </w:r>
      <w:r>
        <w:t xml:space="preserve"> </w:t>
      </w:r>
      <w:r>
        <w:t xml:space="preserve">learning system could end up adopting a higher c value in the constant</w:t>
      </w:r>
      <w:r>
        <w:t xml:space="preserve"> </w:t>
      </w:r>
      <w:r>
        <w:t xml:space="preserve">than variable training conditions by monitoring the trial-by-trial</w:t>
      </w:r>
      <w:r>
        <w:t xml:space="preserve"> </w:t>
      </w:r>
      <w:r>
        <w:t xml:space="preserve">variability of the training items. The c parameter would be adapted</w:t>
      </w:r>
      <w:r>
        <w:t xml:space="preserve"> </w:t>
      </w:r>
      <w:r>
        <w:t xml:space="preserve">downwards when adjacent training items are dissimilar to each other and</w:t>
      </w:r>
      <w:r>
        <w:t xml:space="preserve"> </w:t>
      </w:r>
      <w:r>
        <w:t xml:space="preserve">adapted upwards when adjacent training items are the same. In this</w:t>
      </w:r>
      <w:r>
        <w:t xml:space="preserve"> </w:t>
      </w:r>
      <w:r>
        <w:t xml:space="preserve">fashion, contextually appropriate c values could be empirically learned.</w:t>
      </w:r>
      <w:r>
        <w:t xml:space="preserve"> </w:t>
      </w:r>
      <w:r>
        <w:t xml:space="preserve">This learning procedure would capture the insight that if a situation</w:t>
      </w:r>
      <w:r>
        <w:t xml:space="preserve"> </w:t>
      </w:r>
      <w:r>
        <w:t xml:space="preserve">has a high amount variability, then the learner should be predisposed</w:t>
      </w:r>
      <w:r>
        <w:t xml:space="preserve"> </w:t>
      </w:r>
      <w:r>
        <w:t xml:space="preserve">toward thinking that subsequent test items will also show considerable</w:t>
      </w:r>
      <w:r>
        <w:t xml:space="preserve"> </w:t>
      </w:r>
      <w:r>
        <w:t xml:space="preserve">variability, in which case generalization gradients should be broad, as</w:t>
      </w:r>
      <w:r>
        <w:t xml:space="preserve"> </w:t>
      </w:r>
      <w:r>
        <w:t xml:space="preserve">is achieved by low values for c.</w:t>
      </w:r>
    </w:p>
    <w:p>
      <w:pPr>
        <w:pStyle w:val="BodyText"/>
      </w:pPr>
      <w:r>
        <w:t xml:space="preserve">Also of interest is whether the IGAS model can predict the pattern of</w:t>
      </w:r>
      <w:r>
        <w:t xml:space="preserve"> </w:t>
      </w:r>
      <w:r>
        <w:t xml:space="preserve">results wherein the varied condition outperforms the constant condition</w:t>
      </w:r>
      <w:r>
        <w:t xml:space="preserve"> </w:t>
      </w:r>
      <w:r>
        <w:t xml:space="preserve">even from the position on which the constant condition trained. Although</w:t>
      </w:r>
      <w:r>
        <w:t xml:space="preserve"> </w:t>
      </w:r>
      <w:r>
        <w:t xml:space="preserve">our models were fit using all of the Experiment 2 training and testing</w:t>
      </w:r>
      <w:r>
        <w:t xml:space="preserve"> </w:t>
      </w:r>
      <w:r>
        <w:t xml:space="preserve">data, not just that of the identity comparisons, in</w:t>
      </w:r>
      <w:r>
        <w:t xml:space="preserve"> </w:t>
      </w:r>
      <w:hyperlink w:anchor="fig-Toy-Model2">
        <w:r>
          <w:rPr>
            <w:rStyle w:val="Hyperlink"/>
          </w:rPr>
          <w:t xml:space="preserve">Figure 9</w:t>
        </w:r>
      </w:hyperlink>
      <w:r>
        <w:t xml:space="preserve"> </w:t>
      </w:r>
      <w:r>
        <w:t xml:space="preserve">we</w:t>
      </w:r>
      <w:r>
        <w:t xml:space="preserve"> </w:t>
      </w:r>
      <w:r>
        <w:t xml:space="preserve">demonstrate how a simplified version of the IGAS model could in</w:t>
      </w:r>
      <w:r>
        <w:t xml:space="preserve"> </w:t>
      </w:r>
      <w:r>
        <w:t xml:space="preserve">principle produce such a pattern. In addition to the assumption of</w:t>
      </w:r>
      <w:r>
        <w:t xml:space="preserve"> </w:t>
      </w:r>
      <w:r>
        <w:t xml:space="preserve">differential generalization between varied and constant conditions, our</w:t>
      </w:r>
      <w:r>
        <w:t xml:space="preserve"> </w:t>
      </w:r>
      <w:r>
        <w:t xml:space="preserve">simplified model makes explicit an assumption that is incorporated into</w:t>
      </w:r>
      <w:r>
        <w:t xml:space="preserve"> </w:t>
      </w:r>
      <w:r>
        <w:t xml:space="preserve">the full IGAS model – namely that even when being tested from a</w:t>
      </w:r>
      <w:r>
        <w:t xml:space="preserve"> </w:t>
      </w:r>
      <w:r>
        <w:t xml:space="preserve">position identical to that which was trained, there are always some</w:t>
      </w:r>
      <w:r>
        <w:t xml:space="preserve"> </w:t>
      </w:r>
      <w:r>
        <w:t xml:space="preserve">psychological contextual differences between training and testing</w:t>
      </w:r>
      <w:r>
        <w:t xml:space="preserve"> </w:t>
      </w:r>
      <w:r>
        <w:t xml:space="preserve">throws, resulting in a non-zero dissimilarity.</w:t>
      </w:r>
    </w:p>
    <w:tbl>
      <w:tblPr>
        <w:tblStyle w:val="Table"/>
        <w:tblW w:type="pct" w:w="5000"/>
        <w:tblLook w:firstRow="0" w:lastRow="0" w:firstColumn="0" w:lastColumn="0" w:noHBand="0" w:noVBand="0" w:val="0000"/>
        <w:jc w:val="start"/>
        <w:tblLayout w:type="fixed"/>
      </w:tblPr>
      <w:tblGrid>
        <w:gridCol w:w="7920"/>
      </w:tblGrid>
      <w:tr>
        <w:tc>
          <w:tcPr/>
          <w:bookmarkStart w:id="76" w:name="fig-Toy-Model2"/>
          <w:p>
            <w:pPr>
              <w:pStyle w:val="Compact"/>
              <w:jc w:val="center"/>
            </w:pPr>
          </w:p>
          <w:p>
            <w:pPr>
              <w:jc w:val="center"/>
            </w:pPr>
            <w:pPr>
              <w:jc w:val="start"/>
              <w:spacing w:before="200"/>
              <w:pStyle w:val="ImageCaption"/>
            </w:pPr>
            <w:r>
              <w:t xml:space="preserve">Figure 9: A simple model depicting the necessity of both of two separately fit generalization parameters, c, and a positive distance between training and testing contexts, in order for an instance model to predict a pattern of varied training from stimuli 400 and 800 outperforming constant training from position 600 at a test position of 600. For the top left panel, in which the generalization model assumes a single c value (-.008) for both varied and constant conditions, and identical contexts across training and testing, the equation which generates the varied condition is - Amount of Generalization =</w:t>
            </w:r>
            <w:r>
              <w:t xml:space="preserve"> </w:t>
            </w:r>
            <w:r>
              <w:t xml:space="preserve">$e^{(c\\cdot|x-800|)} +e^{(c\\cdot|x-400|)}$</w:t>
            </w:r>
            <w:r>
              <w:t xml:space="preserve">, whereas the constant group generalization is generated from</w:t>
            </w:r>
            <w:r>
              <w:t xml:space="preserve"> </w:t>
            </w:r>
            <w:r>
              <w:t xml:space="preserve">$2\\cdot e^{(c\\cdot|x-600|)}$</w:t>
            </w:r>
            <w:r>
              <w:t xml:space="preserve">. For the top right panel, the c constants in the original equations are different for the 2 conditions, with</w:t>
            </w:r>
            <w:r>
              <w:t xml:space="preserve"> </w:t>
            </w:r>
            <m:oMath>
              <m:r>
                <m:t>c</m:t>
              </m:r>
              <m:r>
                <m:rPr>
                  <m:sty m:val="p"/>
                </m:rPr>
                <m:t>=</m:t>
              </m:r>
              <m:r>
                <m:rPr>
                  <m:sty m:val="p"/>
                </m:rPr>
                <m:t>−</m:t>
              </m:r>
              <m:r>
                <m:t>.002</m:t>
              </m:r>
            </m:oMath>
            <w:r>
              <w:t xml:space="preserve"> </w:t>
            </w:r>
            <w:r>
              <w:t xml:space="preserve">for the varied condition, and</w:t>
            </w:r>
            <w:r>
              <w:t xml:space="preserve"> </w:t>
            </w:r>
            <m:oMath>
              <m:r>
                <m:t>c</m:t>
              </m:r>
              <m:r>
                <m:rPr>
                  <m:sty m:val="p"/>
                </m:rPr>
                <m:t>=</m:t>
              </m:r>
              <m:r>
                <m:rPr>
                  <m:sty m:val="p"/>
                </m:rPr>
                <m:t>−</m:t>
              </m:r>
              <m:r>
                <m:t>.008</m:t>
              </m:r>
            </m:oMath>
            <w:r>
              <w:t xml:space="preserve"> </w:t>
            </w:r>
            <w:r>
              <w:t xml:space="preserve">for the constant condition. The bottom two panels are generated from identical equations to those immediately above, except for the addition of extra distance (100 units) to reflect the assumption of some change in context between training and testing conditions. Thus, the generalization model for the varied condition in the bottom-right panel is of the form - Amount of Generalization =</w:t>
            </w:r>
            <w:r>
              <w:t xml:space="preserve"> </w:t>
            </w:r>
            <w:r>
              <w:t xml:space="preserve">$e^{(cvaried\\cdot|x-800|)} +e^{(cvaried\\cdot|x-400|)}$</w:t>
            </w:r>
            <w:r>
              <w:t xml:space="preserve">.</w:t>
            </w:r>
          </w:p>
          <w:bookmarkEnd w:id="76"/>
        </w:tc>
      </w:tr>
    </w:tbl>
    <w:p>
      <w:pPr>
        <w:pStyle w:val="BodyText"/>
      </w:pPr>
      <w:r>
        <w:t xml:space="preserve">As mentioned above, the idea that learners flexibly adjust their</w:t>
      </w:r>
      <w:r>
        <w:t xml:space="preserve"> </w:t>
      </w:r>
      <w:r>
        <w:t xml:space="preserve">generalization gradient based on prior experience does have precedent in</w:t>
      </w:r>
      <w:r>
        <w:t xml:space="preserve"> </w:t>
      </w:r>
      <w:r>
        <w:t xml:space="preserve">the domains of category learning</w:t>
      </w:r>
      <w:r>
        <w:t xml:space="preserve"> </w:t>
      </w:r>
      <w:r>
        <w:t xml:space="preserve">(</w:t>
      </w:r>
      <w:hyperlink w:anchor="ref-ahaConceptLearningFlexible1992">
        <w:r>
          <w:rPr>
            <w:rStyle w:val="Hyperlink"/>
          </w:rPr>
          <w:t xml:space="preserve">Aha &amp; Goldstone, 1992</w:t>
        </w:r>
      </w:hyperlink>
      <w:r>
        <w:t xml:space="preserve">;</w:t>
      </w:r>
      <w:r>
        <w:t xml:space="preserve"> </w:t>
      </w:r>
      <w:hyperlink w:anchor="ref-briscoeConceptualComplexityBias2011">
        <w:r>
          <w:rPr>
            <w:rStyle w:val="Hyperlink"/>
          </w:rPr>
          <w:t xml:space="preserve">Briscoe &amp; Feldman, 2011</w:t>
        </w:r>
      </w:hyperlink>
      <w:r>
        <w:t xml:space="preserve">;</w:t>
      </w:r>
      <w:r>
        <w:t xml:space="preserve"> </w:t>
      </w:r>
      <w:hyperlink w:anchor="ref-hahnEffectsCategoryDiversity2005">
        <w:r>
          <w:rPr>
            <w:rStyle w:val="Hyperlink"/>
          </w:rPr>
          <w:t xml:space="preserve">Hahn et al., 2005</w:t>
        </w:r>
      </w:hyperlink>
      <w:r>
        <w:t xml:space="preserve">;</w:t>
      </w:r>
      <w:r>
        <w:t xml:space="preserve"> </w:t>
      </w:r>
      <w:hyperlink w:anchor="ref-lambertsFlexibleTuningSimilarity1994">
        <w:r>
          <w:rPr>
            <w:rStyle w:val="Hyperlink"/>
          </w:rPr>
          <w:t xml:space="preserve">Lamberts, 1994</w:t>
        </w:r>
      </w:hyperlink>
      <w:r>
        <w:t xml:space="preserve">;</w:t>
      </w:r>
      <w:r>
        <w:t xml:space="preserve"> </w:t>
      </w:r>
      <w:hyperlink w:anchor="X2a10310e53443692f35f4450fe6537b1cff70f8">
        <w:r>
          <w:rPr>
            <w:rStyle w:val="Hyperlink"/>
          </w:rPr>
          <w:t xml:space="preserve">Op de Beeck et al., 2008</w:t>
        </w:r>
      </w:hyperlink>
      <w:r>
        <w:t xml:space="preserve">)</w:t>
      </w:r>
      <w:r>
        <w:t xml:space="preserve">, and sensorimotor adaptation</w:t>
      </w:r>
      <w:r>
        <w:t xml:space="preserve"> </w:t>
      </w:r>
      <w:r>
        <w:t xml:space="preserve">(</w:t>
      </w:r>
      <w:hyperlink w:anchor="Xadd5c50f43736f9b0dff0650df994aba8142088">
        <w:r>
          <w:rPr>
            <w:rStyle w:val="Hyperlink"/>
          </w:rPr>
          <w:t xml:space="preserve">Marongelli &amp; Thoroughman, 2013</w:t>
        </w:r>
      </w:hyperlink>
      <w:r>
        <w:t xml:space="preserve">;</w:t>
      </w:r>
      <w:r>
        <w:t xml:space="preserve"> </w:t>
      </w:r>
      <w:hyperlink w:anchor="X7acf466e043dea9822f78ede980432d030badec">
        <w:r>
          <w:rPr>
            <w:rStyle w:val="Hyperlink"/>
          </w:rPr>
          <w:t xml:space="preserve">Taylor &amp; Ivry, 2013</w:t>
        </w:r>
      </w:hyperlink>
      <w:r>
        <w:t xml:space="preserve">;</w:t>
      </w:r>
      <w:r>
        <w:t xml:space="preserve"> </w:t>
      </w:r>
      <w:hyperlink w:anchor="ref-thoroughmanRapidReshapingHuman2005">
        <w:r>
          <w:rPr>
            <w:rStyle w:val="Hyperlink"/>
          </w:rPr>
          <w:t xml:space="preserve">Thoroughman &amp; Taylor, 2005</w:t>
        </w:r>
      </w:hyperlink>
      <w:r>
        <w:t xml:space="preserve">)</w:t>
      </w:r>
      <w:r>
        <w:t xml:space="preserve">.</w:t>
      </w:r>
      <w:r>
        <w:t xml:space="preserve"> </w:t>
      </w:r>
      <w:r>
        <w:t xml:space="preserve">Lamberts (</w:t>
      </w:r>
      <w:hyperlink w:anchor="ref-lambertsFlexibleTuningSimilarity1994">
        <w:r>
          <w:rPr>
            <w:rStyle w:val="Hyperlink"/>
          </w:rPr>
          <w:t xml:space="preserve">1994</w:t>
        </w:r>
      </w:hyperlink>
      <w:r>
        <w:t xml:space="preserve">)</w:t>
      </w:r>
      <w:r>
        <w:t xml:space="preserve"> </w:t>
      </w:r>
      <w:r>
        <w:t xml:space="preserve">showed</w:t>
      </w:r>
      <w:r>
        <w:t xml:space="preserve"> </w:t>
      </w:r>
      <w:r>
        <w:t xml:space="preserve">that a simple manipulation of background knowledge during a</w:t>
      </w:r>
      <w:r>
        <w:t xml:space="preserve"> </w:t>
      </w:r>
      <w:r>
        <w:t xml:space="preserve">categorization test resulted in participants generalizing their training</w:t>
      </w:r>
      <w:r>
        <w:t xml:space="preserve"> </w:t>
      </w:r>
      <w:r>
        <w:t xml:space="preserve">experience more or less broadly, and moreover that such a pattern could</w:t>
      </w:r>
      <w:r>
        <w:t xml:space="preserve"> </w:t>
      </w:r>
      <w:r>
        <w:t xml:space="preserve">be captured by allowing the generalization parameter of an</w:t>
      </w:r>
      <w:r>
        <w:t xml:space="preserve"> </w:t>
      </w:r>
      <w:r>
        <w:t xml:space="preserve">instance-based similarity model to be fit separately between conditions.</w:t>
      </w:r>
      <w:r>
        <w:t xml:space="preserve"> </w:t>
      </w:r>
      <w:r>
        <w:t xml:space="preserve">The flexible generalization parameter has also successfully accounted</w:t>
      </w:r>
      <w:r>
        <w:t xml:space="preserve"> </w:t>
      </w:r>
      <w:r>
        <w:t xml:space="preserve">for generalization behavior in cases where participants have been</w:t>
      </w:r>
      <w:r>
        <w:t xml:space="preserve"> </w:t>
      </w:r>
      <w:r>
        <w:t xml:space="preserve">trained on categories that differ in their relative variability</w:t>
      </w:r>
      <w:r>
        <w:t xml:space="preserve"> </w:t>
      </w:r>
      <w:r>
        <w:t xml:space="preserve">(</w:t>
      </w:r>
      <w:hyperlink w:anchor="ref-hahnEffectsCategoryDiversity2005">
        <w:r>
          <w:rPr>
            <w:rStyle w:val="Hyperlink"/>
          </w:rPr>
          <w:t xml:space="preserve">Hahn et al., 2005</w:t>
        </w:r>
      </w:hyperlink>
      <w:r>
        <w:t xml:space="preserve">;</w:t>
      </w:r>
      <w:r>
        <w:t xml:space="preserve"> </w:t>
      </w:r>
      <w:hyperlink w:anchor="Xf1d03c8e78c2da82ff37104161b8190293de477">
        <w:r>
          <w:rPr>
            <w:rStyle w:val="Hyperlink"/>
          </w:rPr>
          <w:t xml:space="preserve">Sakamoto et al., 2006</w:t>
        </w:r>
      </w:hyperlink>
      <w:r>
        <w:t xml:space="preserve">)</w:t>
      </w:r>
      <w:r>
        <w:t xml:space="preserve">. However, to the best of our</w:t>
      </w:r>
      <w:r>
        <w:t xml:space="preserve"> </w:t>
      </w:r>
      <w:r>
        <w:t xml:space="preserve">knowledge, IGAS is the first instance-based similarity model that has</w:t>
      </w:r>
      <w:r>
        <w:t xml:space="preserve"> </w:t>
      </w:r>
      <w:r>
        <w:t xml:space="preserve">been put forward to account for the effect of varied training in a</w:t>
      </w:r>
      <w:r>
        <w:t xml:space="preserve"> </w:t>
      </w:r>
      <w:r>
        <w:t xml:space="preserve">visuomotor skill task. Although IGAS was inspired by work in the domain</w:t>
      </w:r>
      <w:r>
        <w:t xml:space="preserve"> </w:t>
      </w:r>
      <w:r>
        <w:t xml:space="preserve">of category learning, its success in a distinct domain may not be</w:t>
      </w:r>
      <w:r>
        <w:t xml:space="preserve"> </w:t>
      </w:r>
      <w:r>
        <w:t xml:space="preserve">surprising in light of the numerous prior observations that at least</w:t>
      </w:r>
      <w:r>
        <w:t xml:space="preserve"> </w:t>
      </w:r>
      <w:r>
        <w:t xml:space="preserve">certain aspects of learning and generalization may operate under common</w:t>
      </w:r>
      <w:r>
        <w:t xml:space="preserve"> </w:t>
      </w:r>
      <w:r>
        <w:t xml:space="preserve">principles across different tasks and domains</w:t>
      </w:r>
      <w:r>
        <w:t xml:space="preserve"> </w:t>
      </w:r>
      <w:r>
        <w:t xml:space="preserve">(</w:t>
      </w:r>
      <w:hyperlink w:anchor="ref-censorCommonMechanismsHuman2012">
        <w:r>
          <w:rPr>
            <w:rStyle w:val="Hyperlink"/>
          </w:rPr>
          <w:t xml:space="preserve">Censor et al., 2012</w:t>
        </w:r>
      </w:hyperlink>
      <w:r>
        <w:t xml:space="preserve">;</w:t>
      </w:r>
      <w:r>
        <w:t xml:space="preserve"> </w:t>
      </w:r>
      <w:hyperlink w:anchor="ref-hillsCentralExecutiveSearch2010">
        <w:r>
          <w:rPr>
            <w:rStyle w:val="Hyperlink"/>
          </w:rPr>
          <w:t xml:space="preserve">Hills et al., 2010</w:t>
        </w:r>
      </w:hyperlink>
      <w:r>
        <w:t xml:space="preserve">;</w:t>
      </w:r>
      <w:r>
        <w:t xml:space="preserve"> </w:t>
      </w:r>
      <w:hyperlink w:anchor="Xf5783815c7ed800a0ae02845a66384d9da1ebe7">
        <w:r>
          <w:rPr>
            <w:rStyle w:val="Hyperlink"/>
          </w:rPr>
          <w:t xml:space="preserve">Jamieson et al., 2022</w:t>
        </w:r>
      </w:hyperlink>
      <w:r>
        <w:t xml:space="preserve">;</w:t>
      </w:r>
      <w:r>
        <w:t xml:space="preserve"> </w:t>
      </w:r>
      <w:hyperlink w:anchor="ref-lawSharedMechanismsPerceptual2010">
        <w:r>
          <w:rPr>
            <w:rStyle w:val="Hyperlink"/>
          </w:rPr>
          <w:t xml:space="preserve">Law &amp; Gold, 2010</w:t>
        </w:r>
      </w:hyperlink>
      <w:r>
        <w:t xml:space="preserve">;</w:t>
      </w:r>
      <w:r>
        <w:t xml:space="preserve"> </w:t>
      </w:r>
      <w:hyperlink w:anchor="ref-roarkComparingPerceptualCategory2021">
        <w:r>
          <w:rPr>
            <w:rStyle w:val="Hyperlink"/>
          </w:rPr>
          <w:t xml:space="preserve">Roark et al., 2021</w:t>
        </w:r>
      </w:hyperlink>
      <w:r>
        <w:t xml:space="preserve">;</w:t>
      </w:r>
      <w:r>
        <w:t xml:space="preserve"> </w:t>
      </w:r>
      <w:hyperlink w:anchor="Xc5570b410aa984cd5f5bd4b20a2c643bd5fcffc">
        <w:r>
          <w:rPr>
            <w:rStyle w:val="Hyperlink"/>
          </w:rPr>
          <w:t xml:space="preserve">Rosenbaum et al., 2001</w:t>
        </w:r>
      </w:hyperlink>
      <w:r>
        <w:t xml:space="preserve">;</w:t>
      </w:r>
      <w:r>
        <w:t xml:space="preserve"> </w:t>
      </w:r>
      <w:hyperlink w:anchor="ref-vigoLearningDifficultyVisual2018">
        <w:r>
          <w:rPr>
            <w:rStyle w:val="Hyperlink"/>
          </w:rPr>
          <w:t xml:space="preserve">Vigo et al., 2018</w:t>
        </w:r>
      </w:hyperlink>
      <w:r>
        <w:t xml:space="preserve">;</w:t>
      </w:r>
      <w:r>
        <w:t xml:space="preserve"> </w:t>
      </w:r>
      <w:hyperlink w:anchor="Xa1f5217e32b615353abfd0cc58ec156e1340f18">
        <w:r>
          <w:rPr>
            <w:rStyle w:val="Hyperlink"/>
          </w:rPr>
          <w:t xml:space="preserve">Wall et al., 2021</w:t>
        </w:r>
      </w:hyperlink>
      <w:r>
        <w:t xml:space="preserve">;</w:t>
      </w:r>
      <w:r>
        <w:t xml:space="preserve"> </w:t>
      </w:r>
      <w:hyperlink w:anchor="ref-wuSimilaritiesDifferencesSpatial2020">
        <w:r>
          <w:rPr>
            <w:rStyle w:val="Hyperlink"/>
          </w:rPr>
          <w:t xml:space="preserve">Wu et al., 2020</w:t>
        </w:r>
      </w:hyperlink>
      <w:r>
        <w:t xml:space="preserve">;</w:t>
      </w:r>
      <w:r>
        <w:t xml:space="preserve"> </w:t>
      </w:r>
      <w:hyperlink w:anchor="ref-yangGeneralLearningAbility2020">
        <w:r>
          <w:rPr>
            <w:rStyle w:val="Hyperlink"/>
          </w:rPr>
          <w:t xml:space="preserve">Yang et al., 2020</w:t>
        </w:r>
      </w:hyperlink>
      <w:r>
        <w:t xml:space="preserve">)</w:t>
      </w:r>
      <w:r>
        <w:t xml:space="preserve">.</w:t>
      </w:r>
    </w:p>
    <w:p>
      <w:pPr>
        <w:pStyle w:val="BodyText"/>
      </w:pPr>
      <w:r>
        <w:t xml:space="preserve">Our modelling approach does differ from category learning</w:t>
      </w:r>
      <w:r>
        <w:t xml:space="preserve"> </w:t>
      </w:r>
      <w:r>
        <w:t xml:space="preserve">implementations of instance-based models in several ways. One such</w:t>
      </w:r>
      <w:r>
        <w:t xml:space="preserve"> </w:t>
      </w:r>
      <w:r>
        <w:t xml:space="preserve">difference is the nature of the training instances that are assumed to</w:t>
      </w:r>
      <w:r>
        <w:t xml:space="preserve"> </w:t>
      </w:r>
      <w:r>
        <w:t xml:space="preserve">be stored. In category learning studies, instances are represented as</w:t>
      </w:r>
      <w:r>
        <w:t xml:space="preserve"> </w:t>
      </w:r>
      <w:r>
        <w:t xml:space="preserve">points in a multidimensional space of all of the attributes that define</w:t>
      </w:r>
      <w:r>
        <w:t xml:space="preserve"> </w:t>
      </w:r>
      <w:r>
        <w:t xml:space="preserve">a category item (e.g. size/color/shape). Rather than defining instances</w:t>
      </w:r>
      <w:r>
        <w:t xml:space="preserve"> </w:t>
      </w:r>
      <w:r>
        <w:t xml:space="preserve">in terms of what stimuli learners experience, our approach assumes that</w:t>
      </w:r>
      <w:r>
        <w:t xml:space="preserve"> </w:t>
      </w:r>
      <w:r>
        <w:t xml:space="preserve">stored, motor instances reflect how they act, in terms of the velocity</w:t>
      </w:r>
      <w:r>
        <w:t xml:space="preserve"> </w:t>
      </w:r>
      <w:r>
        <w:t xml:space="preserve">applied to the ball on each throw. An advantage of many motor learning</w:t>
      </w:r>
      <w:r>
        <w:t xml:space="preserve"> </w:t>
      </w:r>
      <w:r>
        <w:t xml:space="preserve">tasks is the relative ease with which task execution variables can be</w:t>
      </w:r>
      <w:r>
        <w:t xml:space="preserve"> </w:t>
      </w:r>
      <w:r>
        <w:t xml:space="preserve">directly measured (e.g. movement force, velocity, angle, posture) in</w:t>
      </w:r>
      <w:r>
        <w:t xml:space="preserve"> </w:t>
      </w:r>
      <w:r>
        <w:t xml:space="preserve">addition to the decision and response time measures that typically</w:t>
      </w:r>
      <w:r>
        <w:t xml:space="preserve"> </w:t>
      </w:r>
      <w:r>
        <w:t xml:space="preserve">exhaust the data generated from more classical cognitive tasks. Of</w:t>
      </w:r>
      <w:r>
        <w:t xml:space="preserve"> </w:t>
      </w:r>
      <w:r>
        <w:t xml:space="preserve">course, whether learners actually are storing each individual motor</w:t>
      </w:r>
      <w:r>
        <w:t xml:space="preserve"> </w:t>
      </w:r>
      <w:r>
        <w:t xml:space="preserve">instance is a fundamental question beyond the scope of the current work</w:t>
      </w:r>
      <w:r>
        <w:t xml:space="preserve"> </w:t>
      </w:r>
      <w:r>
        <w:t xml:space="preserve">– though as described in the introduction there is some evidence in</w:t>
      </w:r>
      <w:r>
        <w:t xml:space="preserve"> </w:t>
      </w:r>
      <w:r>
        <w:t xml:space="preserve">support of this idea</w:t>
      </w:r>
      <w:r>
        <w:t xml:space="preserve"> </w:t>
      </w:r>
      <w:r>
        <w:t xml:space="preserve">(</w:t>
      </w:r>
      <w:hyperlink w:anchor="ref-chamberlinNoteSchemaExemplar1992">
        <w:r>
          <w:rPr>
            <w:rStyle w:val="Hyperlink"/>
          </w:rPr>
          <w:t xml:space="preserve">Chamberlin &amp; Magill, 1992a</w:t>
        </w:r>
      </w:hyperlink>
      <w:r>
        <w:t xml:space="preserve">;</w:t>
      </w:r>
      <w:r>
        <w:t xml:space="preserve"> </w:t>
      </w:r>
      <w:hyperlink w:anchor="Xc238d332495d5cd1e8e6854b9a008d57c3788f8">
        <w:r>
          <w:rPr>
            <w:rStyle w:val="Hyperlink"/>
          </w:rPr>
          <w:t xml:space="preserve">Crump &amp; Logan, 2010</w:t>
        </w:r>
      </w:hyperlink>
      <w:r>
        <w:t xml:space="preserve">;</w:t>
      </w:r>
      <w:r>
        <w:t xml:space="preserve"> </w:t>
      </w:r>
      <w:hyperlink w:anchor="ref-hommelEventFilesEvidence1998">
        <w:r>
          <w:rPr>
            <w:rStyle w:val="Hyperlink"/>
          </w:rPr>
          <w:t xml:space="preserve">Hommel, 1998</w:t>
        </w:r>
      </w:hyperlink>
      <w:r>
        <w:t xml:space="preserve">;</w:t>
      </w:r>
      <w:r>
        <w:t xml:space="preserve"> </w:t>
      </w:r>
      <w:hyperlink w:anchor="ref-meighWhatMemoryRepresentation2018">
        <w:r>
          <w:rPr>
            <w:rStyle w:val="Hyperlink"/>
          </w:rPr>
          <w:t xml:space="preserve">Meigh et al., 2018</w:t>
        </w:r>
      </w:hyperlink>
      <w:r>
        <w:t xml:space="preserve">;</w:t>
      </w:r>
      <w:r>
        <w:t xml:space="preserve"> </w:t>
      </w:r>
      <w:hyperlink w:anchor="Xc21ba1d8d46c5fa98e6000a97319b35df4d1ba9">
        <w:r>
          <w:rPr>
            <w:rStyle w:val="Hyperlink"/>
          </w:rPr>
          <w:t xml:space="preserve">Poldrack et al., 1999</w:t>
        </w:r>
      </w:hyperlink>
      <w:r>
        <w:t xml:space="preserve">)</w:t>
      </w:r>
      <w:r>
        <w:t xml:space="preserve">. A particularly</w:t>
      </w:r>
      <w:r>
        <w:t xml:space="preserve"> </w:t>
      </w:r>
      <w:r>
        <w:t xml:space="preserve">noteworthy instance-based model of sensory-motor behavior is the</w:t>
      </w:r>
      <w:r>
        <w:t xml:space="preserve"> </w:t>
      </w:r>
      <w:r>
        <w:t xml:space="preserve">Knowledge II model of Rosenbaum and colleagues</w:t>
      </w:r>
      <w:r>
        <w:t xml:space="preserve"> </w:t>
      </w:r>
      <w:r>
        <w:t xml:space="preserve">(</w:t>
      </w:r>
      <w:hyperlink w:anchor="ref-cohenWhereGraspsAre2004">
        <w:r>
          <w:rPr>
            <w:rStyle w:val="Hyperlink"/>
          </w:rPr>
          <w:t xml:space="preserve">R. G. Cohen &amp; Rosenbaum, 2004</w:t>
        </w:r>
      </w:hyperlink>
      <w:r>
        <w:t xml:space="preserve">;</w:t>
      </w:r>
      <w:r>
        <w:t xml:space="preserve"> </w:t>
      </w:r>
      <w:hyperlink w:anchor="Xcab8540473416335c7d4745a50e2ba7c2a2f664">
        <w:r>
          <w:rPr>
            <w:rStyle w:val="Hyperlink"/>
          </w:rPr>
          <w:t xml:space="preserve">Rosenbaum et al., 1995</w:t>
        </w:r>
      </w:hyperlink>
      <w:r>
        <w:t xml:space="preserve">)</w:t>
      </w:r>
      <w:r>
        <w:t xml:space="preserve">. Knowledge II explicitly defines instances as</w:t>
      </w:r>
      <w:r>
        <w:t xml:space="preserve"> </w:t>
      </w:r>
      <w:r>
        <w:t xml:space="preserve">postures (joint combinations), and is thus far more detailed than IGAS</w:t>
      </w:r>
      <w:r>
        <w:t xml:space="preserve"> </w:t>
      </w:r>
      <w:r>
        <w:t xml:space="preserve">in regards to the contents of stored instances. Knowledge II also</w:t>
      </w:r>
      <w:r>
        <w:t xml:space="preserve"> </w:t>
      </w:r>
      <w:r>
        <w:t xml:space="preserve">differs from IGAS in that learning is accounted for by both the</w:t>
      </w:r>
      <w:r>
        <w:t xml:space="preserve"> </w:t>
      </w:r>
      <w:r>
        <w:t xml:space="preserve">retrieval of stored postures, and the generation of novel postures via</w:t>
      </w:r>
      <w:r>
        <w:t xml:space="preserve"> </w:t>
      </w:r>
      <w:r>
        <w:t xml:space="preserve">the modification of retrieved postures. A promising avenue for future</w:t>
      </w:r>
      <w:r>
        <w:t xml:space="preserve"> </w:t>
      </w:r>
      <w:r>
        <w:t xml:space="preserve">research would be to combine the adaptive similarity mechanism of IGAS</w:t>
      </w:r>
      <w:r>
        <w:t xml:space="preserve"> </w:t>
      </w:r>
      <w:r>
        <w:t xml:space="preserve">with the novel instance generation mechanisms of Knowledge II.</w:t>
      </w:r>
    </w:p>
    <w:p>
      <w:pPr>
        <w:pStyle w:val="BodyText"/>
      </w:pPr>
      <w:r>
        <w:t xml:space="preserve">Our findings also have some conceptual overlap with an earlier study on</w:t>
      </w:r>
      <w:r>
        <w:t xml:space="preserve"> </w:t>
      </w:r>
      <w:r>
        <w:t xml:space="preserve">the effects of varied training in a coincident timing task</w:t>
      </w:r>
      <w:r>
        <w:t xml:space="preserve"> </w:t>
      </w:r>
      <w:r>
        <w:t xml:space="preserve">(</w:t>
      </w:r>
      <w:hyperlink w:anchor="Xb08d1d2c70db9470b6217bc6c358d6ea58e7916">
        <w:r>
          <w:rPr>
            <w:rStyle w:val="Hyperlink"/>
          </w:rPr>
          <w:t xml:space="preserve">Catalano &amp; Kleiner, 1984</w:t>
        </w:r>
      </w:hyperlink>
      <w:r>
        <w:t xml:space="preserve">)</w:t>
      </w:r>
      <w:r>
        <w:t xml:space="preserve">. In this task, participants observe a series of lamps</w:t>
      </w:r>
      <w:r>
        <w:t xml:space="preserve"> </w:t>
      </w:r>
      <w:r>
        <w:t xml:space="preserve">lighting up consecutively, and attempt to time a button press with the</w:t>
      </w:r>
      <w:r>
        <w:t xml:space="preserve"> </w:t>
      </w:r>
      <w:r>
        <w:t xml:space="preserve">onset of the final lamp. The design consisted of four separate constant</w:t>
      </w:r>
      <w:r>
        <w:t xml:space="preserve"> </w:t>
      </w:r>
      <w:r>
        <w:t xml:space="preserve">groups, each training from a single lighting velocity, and a single</w:t>
      </w:r>
      <w:r>
        <w:t xml:space="preserve"> </w:t>
      </w:r>
      <w:r>
        <w:t xml:space="preserve">varied group training with all four of the lighting velocities used by</w:t>
      </w:r>
      <w:r>
        <w:t xml:space="preserve"> </w:t>
      </w:r>
      <w:r>
        <w:t xml:space="preserve">the individual constant groups. Participants were then split into four</w:t>
      </w:r>
      <w:r>
        <w:t xml:space="preserve"> </w:t>
      </w:r>
      <w:r>
        <w:t xml:space="preserve">separate testing conditions, each of which were tested from a single</w:t>
      </w:r>
      <w:r>
        <w:t xml:space="preserve"> </w:t>
      </w:r>
      <w:r>
        <w:t xml:space="preserve">novel lighting velocity of varying distance from the training</w:t>
      </w:r>
      <w:r>
        <w:t xml:space="preserve"> </w:t>
      </w:r>
      <w:r>
        <w:t xml:space="preserve">conditions. The result of primary interest was that all participants</w:t>
      </w:r>
      <w:r>
        <w:t xml:space="preserve"> </w:t>
      </w:r>
      <w:r>
        <w:t xml:space="preserve">performed worse as the distance between training and testing velocity</w:t>
      </w:r>
      <w:r>
        <w:t xml:space="preserve"> </w:t>
      </w:r>
      <w:r>
        <w:t xml:space="preserve">increased – a typical generalization decrement. However, varied</w:t>
      </w:r>
      <w:r>
        <w:t xml:space="preserve"> </w:t>
      </w:r>
      <w:r>
        <w:t xml:space="preserve">participants showed less of a decrement than did constant participants.</w:t>
      </w:r>
      <w:r>
        <w:t xml:space="preserve"> </w:t>
      </w:r>
      <w:r>
        <w:t xml:space="preserve">The authors take this result as evidence that varied training results in</w:t>
      </w:r>
      <w:r>
        <w:t xml:space="preserve"> </w:t>
      </w:r>
      <w:r>
        <w:t xml:space="preserve">a less-steep generalization gradient than does constant training.</w:t>
      </w:r>
      <w:r>
        <w:t xml:space="preserve"> </w:t>
      </w:r>
      <w:r>
        <w:t xml:space="preserve">Although the experimental conclusions of Catalano and Kleiner are</w:t>
      </w:r>
      <w:r>
        <w:t xml:space="preserve"> </w:t>
      </w:r>
      <w:r>
        <w:t xml:space="preserve">similar to our own, our work is novel in that we account for our results</w:t>
      </w:r>
      <w:r>
        <w:t xml:space="preserve"> </w:t>
      </w:r>
      <w:r>
        <w:t xml:space="preserve">with a cognitive model, and without assuming the formation of a schema.</w:t>
      </w:r>
      <w:r>
        <w:t xml:space="preserve"> </w:t>
      </w:r>
      <w:r>
        <w:t xml:space="preserve">Additionally, the way in which Catalano and Kleiner collapse their</w:t>
      </w:r>
      <w:r>
        <w:t xml:space="preserve"> </w:t>
      </w:r>
      <w:r>
        <w:t xml:space="preserve">separate constant groups together may result in similarity confounds</w:t>
      </w:r>
      <w:r>
        <w:t xml:space="preserve"> </w:t>
      </w:r>
      <w:r>
        <w:t xml:space="preserve">between varied and constant conditions that leaves their study open to</w:t>
      </w:r>
      <w:r>
        <w:t xml:space="preserve"> </w:t>
      </w:r>
      <w:r>
        <w:t xml:space="preserve">methodological criticisms, especially in light of related work which</w:t>
      </w:r>
      <w:r>
        <w:t xml:space="preserve"> </w:t>
      </w:r>
      <w:r>
        <w:t xml:space="preserve">demonstrated that the extent to which varied training may be beneficial</w:t>
      </w:r>
      <w:r>
        <w:t xml:space="preserve"> </w:t>
      </w:r>
      <w:r>
        <w:t xml:space="preserve">can depend on whether the constant group they are compared against</w:t>
      </w:r>
      <w:r>
        <w:t xml:space="preserve"> </w:t>
      </w:r>
      <w:r>
        <w:t xml:space="preserve">trained from similar conditions to those later tested</w:t>
      </w:r>
      <w:r>
        <w:t xml:space="preserve"> </w:t>
      </w:r>
      <w:r>
        <w:t xml:space="preserve">(</w:t>
      </w:r>
      <w:hyperlink w:anchor="X05a5acade1fdd8bd616f6380d0ca460d0ffe88c">
        <w:r>
          <w:rPr>
            <w:rStyle w:val="Hyperlink"/>
          </w:rPr>
          <w:t xml:space="preserve">Wrisberg et al., 1987</w:t>
        </w:r>
      </w:hyperlink>
      <w:r>
        <w:t xml:space="preserve">)</w:t>
      </w:r>
      <w:r>
        <w:t xml:space="preserve">. Our study alleviates such concerns by explicitly controlling for</w:t>
      </w:r>
      <w:r>
        <w:t xml:space="preserve"> </w:t>
      </w:r>
      <w:r>
        <w:t xml:space="preserve">similarity.</w:t>
      </w:r>
    </w:p>
    <w:bookmarkEnd w:id="77"/>
    <w:bookmarkEnd w:id="78"/>
    <w:bookmarkStart w:id="79" w:name="limitations"/>
    <w:p>
      <w:pPr>
        <w:pStyle w:val="Heading2"/>
      </w:pPr>
      <w:r>
        <w:t xml:space="preserve">Limitations</w:t>
      </w:r>
    </w:p>
    <w:p>
      <w:pPr>
        <w:pStyle w:val="FirstParagraph"/>
      </w:pPr>
      <w:r>
        <w:t xml:space="preserve">A limitation of this study concerns the ordering of the testing/transfer</w:t>
      </w:r>
      <w:r>
        <w:t xml:space="preserve"> </w:t>
      </w:r>
      <w:r>
        <w:t xml:space="preserve">trials at the conclusion of both experiments. Participants were tested</w:t>
      </w:r>
      <w:r>
        <w:t xml:space="preserve"> </w:t>
      </w:r>
      <w:r>
        <w:t xml:space="preserve">from each separate position (4 in Experiment 1, 6 in Experiment 2) in a</w:t>
      </w:r>
      <w:r>
        <w:t xml:space="preserve"> </w:t>
      </w:r>
      <w:r>
        <w:t xml:space="preserve">random, intermixed order. Because the varied group was trained from two</w:t>
      </w:r>
      <w:r>
        <w:t xml:space="preserve"> </w:t>
      </w:r>
      <w:r>
        <w:t xml:space="preserve">positions that were also randomly ordered, they may have benefited from</w:t>
      </w:r>
      <w:r>
        <w:t xml:space="preserve"> </w:t>
      </w:r>
      <w:r>
        <w:t xml:space="preserve">experience with this type of sequencing, whereas the constant groups had</w:t>
      </w:r>
      <w:r>
        <w:t xml:space="preserve"> </w:t>
      </w:r>
      <w:r>
        <w:t xml:space="preserve">no experience with switching between positions trial to trial. This</w:t>
      </w:r>
      <w:r>
        <w:t xml:space="preserve"> </w:t>
      </w:r>
      <w:r>
        <w:t xml:space="preserve">concern is somewhat ameliorated by the fact that the testing phase</w:t>
      </w:r>
      <w:r>
        <w:t xml:space="preserve"> </w:t>
      </w:r>
      <w:r>
        <w:t xml:space="preserve">performance of the constant groups from their trained position was not</w:t>
      </w:r>
      <w:r>
        <w:t xml:space="preserve"> </w:t>
      </w:r>
      <w:r>
        <w:t xml:space="preserve">significantly worse than their level of performance at the end of the</w:t>
      </w:r>
      <w:r>
        <w:t xml:space="preserve"> </w:t>
      </w:r>
      <w:r>
        <w:t xml:space="preserve">training phase, suggesting that they were not harmed by random ordering</w:t>
      </w:r>
      <w:r>
        <w:t xml:space="preserve"> </w:t>
      </w:r>
      <w:r>
        <w:t xml:space="preserve">of positions during testing. It should also be noted that the</w:t>
      </w:r>
      <w:r>
        <w:t xml:space="preserve"> </w:t>
      </w:r>
      <w:r>
        <w:t xml:space="preserve">computerized task utilized in the present work is relatively simple</w:t>
      </w:r>
      <w:r>
        <w:t xml:space="preserve"> </w:t>
      </w:r>
      <w:r>
        <w:t xml:space="preserve">compared to many of the real-world tasks utilized in prior research. It</w:t>
      </w:r>
      <w:r>
        <w:t xml:space="preserve"> </w:t>
      </w:r>
      <w:r>
        <w:t xml:space="preserve">is thus conceivable that the effect of variability in more complex tasks</w:t>
      </w:r>
      <w:r>
        <w:t xml:space="preserve"> </w:t>
      </w:r>
      <w:r>
        <w:t xml:space="preserve">is distinct from the process put forward in the present work. An</w:t>
      </w:r>
      <w:r>
        <w:t xml:space="preserve"> </w:t>
      </w:r>
      <w:r>
        <w:t xml:space="preserve">important challenge for future work will be to assess the extent to</w:t>
      </w:r>
      <w:r>
        <w:t xml:space="preserve"> </w:t>
      </w:r>
      <w:r>
        <w:t xml:space="preserve">which IGAS can account for generalization in relatively complex tasks</w:t>
      </w:r>
      <w:r>
        <w:t xml:space="preserve"> </w:t>
      </w:r>
      <w:r>
        <w:t xml:space="preserve">with far more degrees of freedom.</w:t>
      </w:r>
    </w:p>
    <w:p>
      <w:pPr>
        <w:pStyle w:val="BodyText"/>
      </w:pPr>
      <w:r>
        <w:t xml:space="preserve">It is common for psychological process models of categorization learning</w:t>
      </w:r>
      <w:r>
        <w:t xml:space="preserve"> </w:t>
      </w:r>
      <w:r>
        <w:t xml:space="preserve">to use an approach such as multidimensional scaling so as to transform</w:t>
      </w:r>
      <w:r>
        <w:t xml:space="preserve"> </w:t>
      </w:r>
      <w:r>
        <w:t xml:space="preserve">the stimuli from the physical dimensions used in the particular task</w:t>
      </w:r>
      <w:r>
        <w:t xml:space="preserve"> </w:t>
      </w:r>
      <w:r>
        <w:t xml:space="preserve">into the psychological dimensions more reflective of the actual human</w:t>
      </w:r>
      <w:r>
        <w:t xml:space="preserve"> </w:t>
      </w:r>
      <w:r>
        <w:t xml:space="preserve">representations</w:t>
      </w:r>
      <w:r>
        <w:t xml:space="preserve"> </w:t>
      </w:r>
      <w:r>
        <w:t xml:space="preserve">(</w:t>
      </w:r>
      <w:hyperlink w:anchor="X639a429f50283f5b36ce92c57a3abdf26659eda">
        <w:r>
          <w:rPr>
            <w:rStyle w:val="Hyperlink"/>
          </w:rPr>
          <w:t xml:space="preserve">Nosofsky, 1992</w:t>
        </w:r>
      </w:hyperlink>
      <w:r>
        <w:t xml:space="preserve">;</w:t>
      </w:r>
      <w:r>
        <w:t xml:space="preserve"> </w:t>
      </w:r>
      <w:hyperlink w:anchor="Xba9007bcdae70d35df09ac345233f10159cb4bf">
        <w:r>
          <w:rPr>
            <w:rStyle w:val="Hyperlink"/>
          </w:rPr>
          <w:t xml:space="preserve">Shepard, 1987</w:t>
        </w:r>
      </w:hyperlink>
      <w:r>
        <w:t xml:space="preserve">)</w:t>
      </w:r>
      <w:r>
        <w:t xml:space="preserve">. Such scaling typically entails having participants rate the similarity between individual items</w:t>
      </w:r>
      <w:r>
        <w:t xml:space="preserve"> </w:t>
      </w:r>
      <w:r>
        <w:t xml:space="preserve">and using these similarity judgements to then compute the psychological</w:t>
      </w:r>
      <w:r>
        <w:t xml:space="preserve"> </w:t>
      </w:r>
      <w:r>
        <w:t xml:space="preserve">distances between stimuli, which can then be fed into a subsequent</w:t>
      </w:r>
      <w:r>
        <w:t xml:space="preserve"> </w:t>
      </w:r>
      <w:r>
        <w:t xml:space="preserve">model. In the present investigation, there was no such way to scale the</w:t>
      </w:r>
      <w:r>
        <w:t xml:space="preserve"> </w:t>
      </w:r>
      <w:r>
        <w:t xml:space="preserve">x and y velocity components in terms of the psychological similarity,</w:t>
      </w:r>
      <w:r>
        <w:t xml:space="preserve"> </w:t>
      </w:r>
      <w:r>
        <w:t xml:space="preserve">and thus our modelling does rely on the assumption that the</w:t>
      </w:r>
      <w:r>
        <w:t xml:space="preserve"> </w:t>
      </w:r>
      <w:r>
        <w:t xml:space="preserve">psychological distances between the different throwing positions are</w:t>
      </w:r>
      <w:r>
        <w:t xml:space="preserve"> </w:t>
      </w:r>
      <w:r>
        <w:t xml:space="preserve">proportional to absolute distances in the metric space of the task (e.g.</w:t>
      </w:r>
      <w:r>
        <w:t xml:space="preserve"> </w:t>
      </w:r>
      <w:r>
        <w:t xml:space="preserve">the relative distance between positions 400 and 500 is equivalent to</w:t>
      </w:r>
      <w:r>
        <w:t xml:space="preserve"> </w:t>
      </w:r>
      <w:r>
        <w:t xml:space="preserve">that between 800 and 900). However, an advantage of our approach is that</w:t>
      </w:r>
      <w:r>
        <w:t xml:space="preserve"> </w:t>
      </w:r>
      <w:r>
        <w:t xml:space="preserve">we are measuring similarity in terms of how participants behave</w:t>
      </w:r>
      <w:r>
        <w:t xml:space="preserve"> </w:t>
      </w:r>
      <w:r>
        <w:t xml:space="preserve">(applying a velocity to the ball), rather than the metric features of</w:t>
      </w:r>
      <w:r>
        <w:t xml:space="preserve"> </w:t>
      </w:r>
      <w:r>
        <w:t xml:space="preserve">the task stimuli.</w:t>
      </w:r>
    </w:p>
    <w:bookmarkEnd w:id="79"/>
    <w:bookmarkStart w:id="80" w:name="conclusion"/>
    <w:p>
      <w:pPr>
        <w:pStyle w:val="Heading2"/>
      </w:pPr>
      <w:r>
        <w:t xml:space="preserve">Conclusion</w:t>
      </w:r>
    </w:p>
    <w:p>
      <w:pPr>
        <w:pStyle w:val="FirstParagraph"/>
      </w:pPr>
      <w:r>
        <w:t xml:space="preserve">Our experiments demonstrate a reliable benefit of varied training in a</w:t>
      </w:r>
      <w:r>
        <w:t xml:space="preserve"> </w:t>
      </w:r>
      <w:r>
        <w:t xml:space="preserve">simple projectile launching task. Such results were accounted for by an</w:t>
      </w:r>
      <w:r>
        <w:t xml:space="preserve"> </w:t>
      </w:r>
      <w:r>
        <w:t xml:space="preserve">instance-based model that assumes that varied training results in the</w:t>
      </w:r>
      <w:r>
        <w:t xml:space="preserve"> </w:t>
      </w:r>
      <w:r>
        <w:t xml:space="preserve">computation of a broader similarity-based generalization gradient.</w:t>
      </w:r>
      <w:r>
        <w:t xml:space="preserve"> </w:t>
      </w:r>
      <w:r>
        <w:t xml:space="preserve">Instance-based models augmented with this assumption may be a valuable</w:t>
      </w:r>
      <w:r>
        <w:t xml:space="preserve"> </w:t>
      </w:r>
      <w:r>
        <w:t xml:space="preserve">approach towards better understanding skill generalization and transfer.</w:t>
      </w:r>
    </w:p>
    <w:bookmarkEnd w:id="80"/>
    <w:bookmarkEnd w:id="81"/>
    <w:bookmarkStart w:id="82" w:name="project-2"/>
    <w:p>
      <w:pPr>
        <w:pStyle w:val="Heading1"/>
      </w:pPr>
      <w:r>
        <w:t xml:space="preserve">Project 2</w:t>
      </w:r>
    </w:p>
    <w:bookmarkEnd w:id="82"/>
    <w:bookmarkStart w:id="85" w:name="introduction-1"/>
    <w:p>
      <w:pPr>
        <w:pStyle w:val="Heading1"/>
      </w:pPr>
      <w:r>
        <w:t xml:space="preserve">Introduction</w:t>
      </w:r>
    </w:p>
    <w:p>
      <w:pPr>
        <w:pStyle w:val="FirstParagraph"/>
      </w:pPr>
      <w:r>
        <w:t xml:space="preserve">In project 1, I applied model-based techniques to quantify and control for the similarity between training and testing experience, which in turn enabled us to account for the difference between varied and constant training via an extended version of a similarity based generalization model. In project 2, we will go a step further, implementing a full process model capable of both 1) producing novel responses and 2) modeling behavior in both the learning and testing stages of the experiment. Project 2 also places a greater emphasis on extrapolation performance following training. Although varied training has often been purported to be particularly beneficial for generalization or transfer, few experiments have compared varied and constant training in contexts with unambiguous extrapolation testing.</w:t>
      </w:r>
    </w:p>
    <w:bookmarkStart w:id="84" w:name="function-learning-and-extrapolation"/>
    <w:p>
      <w:pPr>
        <w:pStyle w:val="Heading2"/>
      </w:pPr>
      <w:r>
        <w:t xml:space="preserve">Function Learning and Extrapolation</w:t>
      </w:r>
    </w:p>
    <w:p>
      <w:pPr>
        <w:pStyle w:val="FirstParagraph"/>
      </w:pPr>
      <w:r>
        <w:t xml:space="preserve">The study of human function learning investigates how people learn relationships between continuous input and output values. Function learning is studied both in tasks where individuals are exposed to a sequence of input/output pairs</w:t>
      </w:r>
      <w:r>
        <w:t xml:space="preserve"> </w:t>
      </w:r>
      <w:r>
        <w:t xml:space="preserve">(</w:t>
      </w:r>
      <w:hyperlink w:anchor="ref-deloshExtrapolationSineQua1997">
        <w:r>
          <w:rPr>
            <w:rStyle w:val="Hyperlink"/>
          </w:rPr>
          <w:t xml:space="preserve">DeLosh et al., 1997</w:t>
        </w:r>
      </w:hyperlink>
      <w:r>
        <w:t xml:space="preserve">;</w:t>
      </w:r>
      <w:r>
        <w:t xml:space="preserve"> </w:t>
      </w:r>
      <w:hyperlink w:anchor="ref-mcdanielEffectsSpacedMassed2013">
        <w:r>
          <w:rPr>
            <w:rStyle w:val="Hyperlink"/>
          </w:rPr>
          <w:t xml:space="preserve">McDaniel et al., 2013</w:t>
        </w:r>
      </w:hyperlink>
      <w:r>
        <w:t xml:space="preserve">)</w:t>
      </w:r>
      <w:r>
        <w:t xml:space="preserve">, or situations where observers are presented with a an incomplete scatterplot or line graph and make predictions about regions of the plot that don’t contain data</w:t>
      </w:r>
      <w:r>
        <w:t xml:space="preserve"> </w:t>
      </w:r>
      <w:r>
        <w:t xml:space="preserve">(</w:t>
      </w:r>
      <w:hyperlink w:anchor="ref-ciccioneCanHumansPerform2021a">
        <w:r>
          <w:rPr>
            <w:rStyle w:val="Hyperlink"/>
          </w:rPr>
          <w:t xml:space="preserve">Ciccione &amp; Dehaene, 2021</w:t>
        </w:r>
      </w:hyperlink>
      <w:r>
        <w:t xml:space="preserve">;</w:t>
      </w:r>
      <w:r>
        <w:t xml:space="preserve"> </w:t>
      </w:r>
      <w:hyperlink w:anchor="Xe094a604fd6edcac7c52c0c0714bd8ec909eefe">
        <w:r>
          <w:rPr>
            <w:rStyle w:val="Hyperlink"/>
          </w:rPr>
          <w:t xml:space="preserve">Courrieu, 2012</w:t>
        </w:r>
      </w:hyperlink>
      <w:r>
        <w:t xml:space="preserve">;</w:t>
      </w:r>
      <w:r>
        <w:t xml:space="preserve"> </w:t>
      </w:r>
      <w:hyperlink w:anchor="Xdf977ba0e3f22e132b04d26319edfec1b78769d">
        <w:r>
          <w:rPr>
            <w:rStyle w:val="Hyperlink"/>
          </w:rPr>
          <w:t xml:space="preserve">Said &amp; Fischer, 2021</w:t>
        </w:r>
      </w:hyperlink>
      <w:r>
        <w:t xml:space="preserve">;</w:t>
      </w:r>
      <w:r>
        <w:t xml:space="preserve"> </w:t>
      </w:r>
      <w:hyperlink w:anchor="X072c1cde369bcb8ccfc8c60c4e4877236c1710d">
        <w:r>
          <w:rPr>
            <w:rStyle w:val="Hyperlink"/>
          </w:rPr>
          <w:t xml:space="preserve">Schulz et al., 2020</w:t>
        </w:r>
      </w:hyperlink>
      <w:r>
        <w:t xml:space="preserve">)</w:t>
      </w:r>
      <w:r>
        <w:t xml:space="preserve">.</w:t>
      </w:r>
    </w:p>
    <w:p>
      <w:pPr>
        <w:pStyle w:val="BodyText"/>
      </w:pPr>
      <w:r>
        <w:t xml:space="preserve">Carroll (</w:t>
      </w:r>
      <w:hyperlink w:anchor="Xb2b0daf1e6781bc060b3e141b44cb8a1f070890">
        <w:r>
          <w:rPr>
            <w:rStyle w:val="Hyperlink"/>
          </w:rPr>
          <w:t xml:space="preserve">1963</w:t>
        </w:r>
      </w:hyperlink>
      <w:r>
        <w:t xml:space="preserve">)</w:t>
      </w:r>
      <w:r>
        <w:t xml:space="preserve"> </w:t>
      </w:r>
      <w:r>
        <w:t xml:space="preserve">conducted the earliest work on function learning. Input stimuli and output responses were both lines of varying length. The correct output response was related to the length of the input line by a linear, quadratic, or random function. Participants in the linear and quadratic performed above chance levels during extrapolation testing, with those in the linear condition performing the best overall. Carroll argued that these results were best explained by a ruled based model wherein learners form an abstract representation of the underlying function. Subsequent work by</w:t>
      </w:r>
      <w:r>
        <w:t xml:space="preserve"> </w:t>
      </w:r>
      <w:r>
        <w:t xml:space="preserve">Brehmer (</w:t>
      </w:r>
      <w:hyperlink w:anchor="ref-brehmerHypothesesRelationsScaled1974">
        <w:r>
          <w:rPr>
            <w:rStyle w:val="Hyperlink"/>
          </w:rPr>
          <w:t xml:space="preserve">1974</w:t>
        </w:r>
      </w:hyperlink>
      <w:r>
        <w:t xml:space="preserve">)</w:t>
      </w:r>
      <w:r>
        <w:t xml:space="preserve">,testing a wider array of functional forms, provided further evidence for superior extrapolation in tasks with linear functions. Brehmer argued that individuals start out with an assumption of a linear function, but given sufficient error will progressively test alternative hypothesis with polynomials of greater degree.</w:t>
      </w:r>
      <w:r>
        <w:t xml:space="preserve"> </w:t>
      </w:r>
      <w:r>
        <w:t xml:space="preserve">Koh &amp; Meyer (</w:t>
      </w:r>
      <w:hyperlink w:anchor="ref-kohFunctionLearningInduction1991">
        <w:r>
          <w:rPr>
            <w:rStyle w:val="Hyperlink"/>
          </w:rPr>
          <w:t xml:space="preserve">1991</w:t>
        </w:r>
      </w:hyperlink>
      <w:r>
        <w:t xml:space="preserve">)</w:t>
      </w:r>
      <w:r>
        <w:t xml:space="preserve"> </w:t>
      </w:r>
      <w:r>
        <w:t xml:space="preserve">employed a visuomotor function learning task, wherein participants were trained on examples from an unknown function relating the length of an input line to the duration of a response (time between keystrokes). In this domain, participants performed best when the relation between line length and response duration was determined by a power, as opposed to linear function. Koh &amp; Meyer developed the log-polynomial adaptive-regression model to account for their results.</w:t>
      </w:r>
    </w:p>
    <w:p>
      <w:pPr>
        <w:pStyle w:val="BodyText"/>
      </w:pPr>
      <w:r>
        <w:t xml:space="preserve">The first significant challenge to the rule-based accounts of function learning was put forth by</w:t>
      </w:r>
      <w:r>
        <w:t xml:space="preserve"> </w:t>
      </w:r>
      <w:r>
        <w:t xml:space="preserve">DeLosh et al. (</w:t>
      </w:r>
      <w:hyperlink w:anchor="ref-deloshExtrapolationSineQua1997">
        <w:r>
          <w:rPr>
            <w:rStyle w:val="Hyperlink"/>
          </w:rPr>
          <w:t xml:space="preserve">1997</w:t>
        </w:r>
      </w:hyperlink>
      <w:r>
        <w:t xml:space="preserve">)</w:t>
      </w:r>
      <w:r>
        <w:t xml:space="preserve"> </w:t>
      </w:r>
      <w:r>
        <w:t xml:space="preserve">. In their task, participants learned to associate stimulus magnitudes with response magnitudes that were related via either linear, exponential, or quadratic function. Participants approached ceiling performance by the end of training in each function condition, and were able to correctly respond in interpolation testing trials. All three conditions demonstrated some capacity for extrapolation, however participants in the linear condition tended to underestimate the true function, while exponential and quadratic participants reliably overestimated the true function on extrapolation trials. Extrapolation and interpolation performance are depicted in</w:t>
      </w:r>
      <w:r>
        <w:t xml:space="preserve"> </w:t>
      </w:r>
      <w:hyperlink w:anchor="fig-delosh-extrap">
        <w:r>
          <w:rPr>
            <w:rStyle w:val="Hyperlink"/>
          </w:rPr>
          <w:t xml:space="preserve">Figure 10</w:t>
        </w:r>
      </w:hyperlink>
      <w:r>
        <w:t xml:space="preserve">.</w:t>
      </w:r>
    </w:p>
    <w:p>
      <w:pPr>
        <w:pStyle w:val="BodyText"/>
      </w:pPr>
      <w:r>
        <w:t xml:space="preserve">The authors evaluated both of the rule-based models introduced in earlier research (with some modifications enabling trial-by-trial learning). The polynomial hypothesis testing model</w:t>
      </w:r>
      <w:r>
        <w:t xml:space="preserve"> </w:t>
      </w:r>
      <w:r>
        <w:t xml:space="preserve">(</w:t>
      </w:r>
      <w:hyperlink w:anchor="ref-brehmerHypothesesRelationsScaled1974">
        <w:r>
          <w:rPr>
            <w:rStyle w:val="Hyperlink"/>
          </w:rPr>
          <w:t xml:space="preserve">Brehmer, 1974</w:t>
        </w:r>
      </w:hyperlink>
      <w:r>
        <w:t xml:space="preserve">;</w:t>
      </w:r>
      <w:r>
        <w:t xml:space="preserve"> </w:t>
      </w:r>
      <w:hyperlink w:anchor="Xb2b0daf1e6781bc060b3e141b44cb8a1f070890">
        <w:r>
          <w:rPr>
            <w:rStyle w:val="Hyperlink"/>
          </w:rPr>
          <w:t xml:space="preserve">Carroll, 1963</w:t>
        </w:r>
      </w:hyperlink>
      <w:r>
        <w:t xml:space="preserve">)</w:t>
      </w:r>
      <w:r>
        <w:t xml:space="preserve"> </w:t>
      </w:r>
      <w:r>
        <w:t xml:space="preserve">tended to mimic the true function closely in extrapolation, and thus offered a poor account of the human data. The log-polynomial adaptive regression model</w:t>
      </w:r>
      <w:r>
        <w:t xml:space="preserve"> </w:t>
      </w:r>
      <w:r>
        <w:t xml:space="preserve">(</w:t>
      </w:r>
      <w:hyperlink w:anchor="ref-kohFunctionLearningInduction1991">
        <w:r>
          <w:rPr>
            <w:rStyle w:val="Hyperlink"/>
          </w:rPr>
          <w:t xml:space="preserve">Koh &amp; Meyer, 1991</w:t>
        </w:r>
      </w:hyperlink>
      <w:r>
        <w:t xml:space="preserve">)</w:t>
      </w:r>
      <w:r>
        <w:t xml:space="preserve"> </w:t>
      </w:r>
      <w:r>
        <w:t xml:space="preserve">was able to mimic some of the systematic deviations produced by human subjects, but also predicted overestimation in cases where underestimation occurred.</w:t>
      </w:r>
    </w:p>
    <w:p>
      <w:pPr>
        <w:pStyle w:val="BodyText"/>
      </w:pPr>
      <w:r>
        <w:t xml:space="preserve">The authors also introduced two new function-learning models. The Associative Learning Model (ALM) and the extrapolation-association model (EXAM). ALM is a two layer connectionist model adapted from the ALCOVE model in the category learning literature</w:t>
      </w:r>
      <w:r>
        <w:t xml:space="preserve"> </w:t>
      </w:r>
      <w:r>
        <w:t xml:space="preserve">(</w:t>
      </w:r>
      <w:hyperlink w:anchor="Xdb7e4c44c36e324f43a0c9fdfdb4efa7d250832">
        <w:r>
          <w:rPr>
            <w:rStyle w:val="Hyperlink"/>
          </w:rPr>
          <w:t xml:space="preserve">Kruschke, 1992</w:t>
        </w:r>
      </w:hyperlink>
      <w:r>
        <w:t xml:space="preserve">)</w:t>
      </w:r>
      <w:r>
        <w:t xml:space="preserve">. ALM belongs to the general class of radial-basis function neural networks, and can be considered a similarity-based model in the sense that the nodes in the input layer of the network are activated as a function of distance. The EXAM model retains the same similarity based activation and associative learning mechanisms as ALM, while being augmented with a linear rule response mechanism. When presented with novel stimuli, EXAM will retrieve the most similar input-output examples encountered during training, and from those examples compute a local slope. ALM was able to provide a good account of participant training and interpolation data in all three function conditions, however it was unable to extrapolate. EXAM, on the other hand, was able to reproduce both the extrapolation underestimation, as well as the quadratic and exponential overestimation patterns exhibited by the human participants. Subsequent research identified some limitations in EXAM’s ability to account for cases where human participants learn and extrapolate sinusoidal function</w:t>
      </w:r>
      <w:r>
        <w:t xml:space="preserve"> </w:t>
      </w:r>
      <w:r>
        <w:t xml:space="preserve">Bott &amp; Heit (</w:t>
      </w:r>
      <w:hyperlink w:anchor="Xa44c513e8b953936c2872f16be938b25afbc6c8">
        <w:r>
          <w:rPr>
            <w:rStyle w:val="Hyperlink"/>
          </w:rPr>
          <w:t xml:space="preserve">2004</w:t>
        </w:r>
      </w:hyperlink>
      <w:r>
        <w:t xml:space="preserve">)</w:t>
      </w:r>
      <w:r>
        <w:t xml:space="preserve"> </w:t>
      </w:r>
      <w:r>
        <w:t xml:space="preserve">or to scenarios where different functions apply to different regions of the input space</w:t>
      </w:r>
      <w:r>
        <w:t xml:space="preserve"> </w:t>
      </w:r>
      <w:r>
        <w:t xml:space="preserve">Kalish et al. (</w:t>
      </w:r>
      <w:hyperlink w:anchor="ref-kalishPopulationLinearExperts2004">
        <w:r>
          <w:rPr>
            <w:rStyle w:val="Hyperlink"/>
          </w:rPr>
          <w:t xml:space="preserve">2004</w:t>
        </w:r>
      </w:hyperlink>
      <w:r>
        <w:t xml:space="preserve">)</w:t>
      </w:r>
      <w:r>
        <w:t xml:space="preserve">, though EXAM has been shown to provide a good account of human learning and extrapolation in tasks with bi-linear, V shaped input spaces</w:t>
      </w:r>
      <w:r>
        <w:t xml:space="preserve"> </w:t>
      </w:r>
      <w:r>
        <w:t xml:space="preserve">Mcdaniel et al. (</w:t>
      </w:r>
      <w:hyperlink w:anchor="X11f5d5b369bd61c109baf65d1e55e39f773ac1b">
        <w:r>
          <w:rPr>
            <w:rStyle w:val="Hyperlink"/>
          </w:rPr>
          <w:t xml:space="preserve">2009</w:t>
        </w:r>
      </w:hyperlink>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83" w:name="fig-delosh-extrap"/>
          <w:p>
            <w:pPr>
              <w:pStyle w:val="Compact"/>
              <w:jc w:val="center"/>
            </w:pPr>
          </w:p>
          <w:p>
            <w:pPr>
              <w:jc w:val="center"/>
            </w:pPr>
            <w:pPr>
              <w:jc w:val="start"/>
              <w:spacing w:before="200"/>
              <w:pStyle w:val="ImageCaption"/>
            </w:pPr>
            <w:r>
              <w:t xml:space="preserve">Figure 10: Generalization reproduced patterns from DeLosh et al. (1997) Figure 3. Stimulii that fall within the dashed lines are interpolations of the training examples.</w:t>
            </w:r>
          </w:p>
          <w:bookmarkEnd w:id="83"/>
        </w:tc>
      </w:tr>
    </w:tbl>
    <w:bookmarkEnd w:id="84"/>
    <w:bookmarkEnd w:id="85"/>
    <w:bookmarkStart w:id="131" w:name="methods-2"/>
    <w:p>
      <w:pPr>
        <w:pStyle w:val="Heading1"/>
      </w:pPr>
      <w:r>
        <w:t xml:space="preserve">Methods</w:t>
      </w:r>
    </w:p>
    <w:bookmarkStart w:id="86" w:name="participants-2"/>
    <w:p>
      <w:pPr>
        <w:pStyle w:val="Heading2"/>
      </w:pPr>
      <w:r>
        <w:t xml:space="preserve">Participants</w:t>
      </w:r>
    </w:p>
    <w:p>
      <w:pPr>
        <w:pStyle w:val="FirstParagraph"/>
      </w:pPr>
      <w:r>
        <w:t xml:space="preserve">Data was collected from 647 participants (after exclusions). The results shown below consider data from subjects in our initial experiment, which consisted of 196 participants (106 constant, 90 varied). The follow-up experiments entailed minor manipulations: 1) reversing the velocity bands that were trained on vs. novel during testing; 2) providing ordinal rather than numerical feedback during training (e.g. correct, too low, too high). The data from these subsequent experiments are largely consistently with our initial results shown below.</w:t>
      </w:r>
    </w:p>
    <w:bookmarkEnd w:id="86"/>
    <w:bookmarkStart w:id="88" w:name="task-1"/>
    <w:p>
      <w:pPr>
        <w:pStyle w:val="Heading2"/>
      </w:pPr>
      <w:r>
        <w:t xml:space="preserve">Task</w:t>
      </w:r>
    </w:p>
    <w:p>
      <w:pPr>
        <w:pStyle w:val="FirstParagraph"/>
      </w:pPr>
      <w:r>
        <w:t xml:space="preserve">We developed a novel visuomotor extrapolation task, termed the Hit The Wall task, wherein participants learned to launch a projectile such that it hit a rectangle at the far end of the screen with an appropriate amount of force. Although the projectile had both x and y velocity components, only the x-dimension was relevant for the task. </w:t>
      </w:r>
      <w:r>
        <w:t xml:space="preserve"> </w:t>
      </w:r>
      <w:hyperlink r:id="rId87">
        <w:r>
          <w:rPr>
            <w:rStyle w:val="Hyperlink"/>
          </w:rPr>
          <w:t xml:space="preserve">Link to task demo</w:t>
        </w:r>
      </w:hyperlink>
    </w:p>
    <w:bookmarkEnd w:id="88"/>
    <w:bookmarkStart w:id="93" w:name="procedure"/>
    <w:p>
      <w:pPr>
        <w:pStyle w:val="Heading2"/>
      </w:pPr>
      <w:r>
        <w:t xml:space="preserve">Procedure</w:t>
      </w:r>
    </w:p>
    <w:p>
      <w:pPr>
        <w:pStyle w:val="FirstParagraph"/>
      </w:pPr>
      <w:r>
        <w:t xml:space="preserve">The HTW task involved launching projectiles to hit a target displayed on the computer screen. Participants completed a total of 90 trials during the training stage. In the varied training condition, participants encountered three velocity bands (800-1000, 1000-1200, and 1200-1400). In contrast, participants in the constant training condition encountered only one velocity band (800-1000).</w:t>
      </w:r>
    </w:p>
    <w:p>
      <w:pPr>
        <w:pStyle w:val="BodyText"/>
      </w:pPr>
      <w:r>
        <w:t xml:space="preserve">During the training stage, participants in both conditions also completed</w:t>
      </w:r>
      <w:r>
        <w:t xml:space="preserve"> </w:t>
      </w:r>
      <w:r>
        <w:t xml:space="preserve">“</w:t>
      </w:r>
      <w:r>
        <w:t xml:space="preserve">no feedback</w:t>
      </w:r>
      <w:r>
        <w:t xml:space="preserve">”</w:t>
      </w:r>
      <w:r>
        <w:t xml:space="preserve"> </w:t>
      </w:r>
      <w:r>
        <w:t xml:space="preserve">trials, where they received no information about their performance. These trials were randomly interleaved with the regular training trials.</w:t>
      </w:r>
    </w:p>
    <w:p>
      <w:pPr>
        <w:pStyle w:val="BodyText"/>
      </w:pPr>
      <w:r>
        <w:t xml:space="preserve">Following the training stage, participants proceeded to the testing stage, which consisted of three phases. In the first phase, participants completed</w:t>
      </w:r>
      <w:r>
        <w:t xml:space="preserve"> </w:t>
      </w:r>
      <w:r>
        <w:t xml:space="preserve">“</w:t>
      </w:r>
      <w:r>
        <w:t xml:space="preserve">no-feedback</w:t>
      </w:r>
      <w:r>
        <w:t xml:space="preserve">”</w:t>
      </w:r>
      <w:r>
        <w:t xml:space="preserve"> </w:t>
      </w:r>
      <w:r>
        <w:t xml:space="preserve">testing from three novel extrapolation bands (100-300, 350-550, and 600-800), with each band consisting of 15 trials.</w:t>
      </w:r>
    </w:p>
    <w:p>
      <w:pPr>
        <w:pStyle w:val="BodyText"/>
      </w:pPr>
      <w:r>
        <w:t xml:space="preserve">In the second phase of testing, participants completed</w:t>
      </w:r>
      <w:r>
        <w:t xml:space="preserve"> </w:t>
      </w:r>
      <w:r>
        <w:t xml:space="preserve">“</w:t>
      </w:r>
      <w:r>
        <w:t xml:space="preserve">no-feedback</w:t>
      </w:r>
      <w:r>
        <w:t xml:space="preserve">”</w:t>
      </w:r>
      <w:r>
        <w:t xml:space="preserve"> </w:t>
      </w:r>
      <w:r>
        <w:t xml:space="preserve">testing from the three velocity bands used during the training stage (800-1000, 1000-1200, and 1200-1400). In the constant training condition, two of these bands were novel, while in the varied training condition, all three bands were encountered during training.</w:t>
      </w:r>
    </w:p>
    <w:p>
      <w:pPr>
        <w:pStyle w:val="BodyText"/>
      </w:pPr>
      <w:r>
        <w:t xml:space="preserve">The third and final phase of testing involved</w:t>
      </w:r>
      <w:r>
        <w:t xml:space="preserve"> </w:t>
      </w:r>
      <w:r>
        <w:t xml:space="preserve">“</w:t>
      </w:r>
      <w:r>
        <w:t xml:space="preserve">feedback</w:t>
      </w:r>
      <w:r>
        <w:t xml:space="preserve">”</w:t>
      </w:r>
      <w:r>
        <w:t xml:space="preserve"> </w:t>
      </w:r>
      <w:r>
        <w:t xml:space="preserve">testing for each of the three extrapolation bands (100-300, 350-550, and 600-800), with each band consisting of 10 trials. Participants received feedback on their performance during this phase.</w:t>
      </w:r>
    </w:p>
    <w:p>
      <w:pPr>
        <w:pStyle w:val="BodyText"/>
      </w:pPr>
      <w:r>
        <w:t xml:space="preserve">Throughout the experiment, participants’ performance was measured by calculating the distance between the produced x-velocity of the projectiles and the closest edge of the current velocity band. Lower distances indicated better performance.</w:t>
      </w:r>
    </w:p>
    <w:p>
      <w:pPr>
        <w:pStyle w:val="BodyText"/>
      </w:pPr>
      <w:r>
        <w:t xml:space="preserve">After completing the experiment, participants were debriefed and provided with an opportunity to ask questions about the study.</w:t>
      </w:r>
    </w:p>
    <w:tbl>
      <w:tblPr>
        <w:tblStyle w:val="Table"/>
        <w:tblW w:type="pct" w:w="5000"/>
        <w:tblLook w:firstRow="0" w:lastRow="0" w:firstColumn="0" w:lastColumn="0" w:noHBand="0" w:noVBand="0" w:val="0000"/>
        <w:jc w:val="start"/>
        <w:tblLayout w:type="fixed"/>
      </w:tblPr>
      <w:tblGrid>
        <w:gridCol w:w="7920"/>
      </w:tblGrid>
      <w:tr>
        <w:tc>
          <w:tcPr/>
          <w:bookmarkStart w:id="92" w:name="fig-design-e1"/>
          <w:p>
            <w:pPr>
              <w:jc w:val="center"/>
            </w:pPr>
            <w:r>
              <w:drawing>
                <wp:inline>
                  <wp:extent cx="5334000" cy="2222500"/>
                  <wp:effectExtent b="0" l="0" r="0" t="0"/>
                  <wp:docPr descr="" title="" id="90" name="Picture"/>
                  <a:graphic>
                    <a:graphicData uri="http://schemas.openxmlformats.org/drawingml/2006/picture">
                      <pic:pic>
                        <pic:nvPicPr>
                          <pic:cNvPr descr="manuscript_files/figure-docx/dot-figure-1.png" id="91" name="Picture"/>
                          <pic:cNvPicPr>
                            <a:picLocks noChangeArrowheads="1" noChangeAspect="1"/>
                          </pic:cNvPicPr>
                        </pic:nvPicPr>
                        <pic:blipFill>
                          <a:blip r:embed="rId89"/>
                          <a:stretch>
                            <a:fillRect/>
                          </a:stretch>
                        </pic:blipFill>
                        <pic:spPr bwMode="auto">
                          <a:xfrm>
                            <a:off x="0" y="0"/>
                            <a:ext cx="5334000" cy="2222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Experiment 1 Design. Constant and Varied participants complete different training conditions.</w:t>
            </w:r>
          </w:p>
          <w:bookmarkEnd w:id="92"/>
        </w:tc>
      </w:tr>
    </w:tbl>
    <w:bookmarkEnd w:id="93"/>
    <w:bookmarkStart w:id="99" w:name="analyses-strategy"/>
    <w:p>
      <w:pPr>
        <w:pStyle w:val="Heading2"/>
      </w:pPr>
      <w:r>
        <w:t xml:space="preserve">Analyses Strategy</w:t>
      </w:r>
    </w:p>
    <w:p>
      <w:pPr>
        <w:pStyle w:val="FirstParagraph"/>
      </w:pPr>
      <w:r>
        <w:t xml:space="preserve">All data processing and statistical analyses were performed in R version 4.31</w:t>
      </w:r>
      <w:r>
        <w:t xml:space="preserve"> </w:t>
      </w:r>
      <w:r>
        <w:t xml:space="preserve">Team (</w:t>
      </w:r>
      <w:hyperlink w:anchor="X7b3c79bfb7654af1f4b03dba64dad1a6765c972">
        <w:r>
          <w:rPr>
            <w:rStyle w:val="Hyperlink"/>
          </w:rPr>
          <w:t xml:space="preserve">2020</w:t>
        </w:r>
      </w:hyperlink>
      <w:r>
        <w:t xml:space="preserve">)</w:t>
      </w:r>
      <w:r>
        <w:t xml:space="preserve">. To assess differences between groups, we used Bayesian Mixed Effects Regression. Model fitting was performed with the brms package in R</w:t>
      </w:r>
      <w:r>
        <w:t xml:space="preserve"> </w:t>
      </w:r>
      <w:r>
        <w:t xml:space="preserve">Bürkner (</w:t>
      </w:r>
      <w:hyperlink w:anchor="ref-burknerBrmsPackageBayesian2017">
        <w:r>
          <w:rPr>
            <w:rStyle w:val="Hyperlink"/>
          </w:rPr>
          <w:t xml:space="preserve">2017</w:t>
        </w:r>
      </w:hyperlink>
      <w:r>
        <w:t xml:space="preserve">)</w:t>
      </w:r>
      <w:r>
        <w:t xml:space="preserve">, and descriptive stats and tables were extracted with the BayestestR package</w:t>
      </w:r>
      <w:r>
        <w:t xml:space="preserve"> </w:t>
      </w:r>
      <w:r>
        <w:t xml:space="preserve">Makowski et al. (</w:t>
      </w:r>
      <w:hyperlink w:anchor="X11a702c183fe711be8f27283712c55ac310fdf4">
        <w:r>
          <w:rPr>
            <w:rStyle w:val="Hyperlink"/>
          </w:rPr>
          <w:t xml:space="preserve">2019</w:t>
        </w:r>
      </w:hyperlink>
      <w:r>
        <w:t xml:space="preserve">)</w:t>
      </w:r>
      <w:r>
        <w:t xml:space="preserve">. Mixed effects regression enables us to take advantage of partial pooling, simultaneously estimating parameters at the individual and group level. Our use of Bayesian, rather than frequentist methods allows us to directly quantify the uncertainty in our parameter estimates, as well as circumventing convergence issues common to the frequentist analogues of our mixed models. For each model, we report the median values of the posterior distribution, and 95% credible intervals.</w:t>
      </w:r>
    </w:p>
    <w:p>
      <w:pPr>
        <w:pStyle w:val="BodyText"/>
      </w:pPr>
      <w:r>
        <w:t xml:space="preserve">Each model was set to run with 4 chains, 5000 iterations per chain, with the first 2500 of which were discarded as warmup chains. Rhat values were generally within an acceptable range, with values &lt;=1.02 (see appendix for diagnostic plots). We used uninformative priors for the fixed effects of the model (condition and velocity band), and weakly informative Student T distributions for for the random effects.</w:t>
      </w:r>
    </w:p>
    <w:p>
      <w:pPr>
        <w:pStyle w:val="BodyText"/>
      </w:pPr>
      <w:r>
        <w:t xml:space="preserve">We compared varied and constant performance across two measures, deviation and discrimination. Deviation was quantified as the absolute deviation from the nearest boundary of the velocity band, or set to 0 if the throw velocity fell anywhere inside the target band. Thus, when the target band was 600-800, throws of 400, 650, and 1100 would result in deviation values of 200, 0, and 300, respectively. Discrimination was measured by fitting a linear model to the testing throws of each subjects, with the lower end of the target velocity band as the predicted variable, and the x velocity produced by the participants as the predictor variable. Participants who reliably discriminated between velocity bands tended to have positive slopes with values ~1, while participants who made throws irrespective of the current target band would have slopes ~0.</w:t>
      </w:r>
    </w:p>
    <w:bookmarkStart w:id="98" w:name="tbl-e1-test-nf-deviation"/>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95" w:name="tbl-e1-test-nf-deviation-1"/>
                <w:p>
                  <w:pPr>
                    <w:jc w:val="center"/>
                    <w:jc w:val="left"/>
                  </w:pPr>
                  <w:pPr>
                    <w:jc w:val="start"/>
                    <w:spacing w:before="200"/>
                    <w:pStyle w:val="ImageCaption"/>
                  </w:pPr>
                  <w:r>
                    <w:t xml:space="preserve">(a) Full datasets</w:t>
                  </w:r>
                </w:p>
                <w:bookmarkStart w:id="94" w:name="tbl-e1-test-nf-deviation-1"/>
                <w:tbl>
                  <w:tblPr>
                    <w:tblStyle w:val="Table"/>
                    <w:tblW w:type="pct" w:w="4900"/>
                    <w:tblLook w:firstRow="1" w:lastRow="0" w:firstColumn="0" w:lastColumn="0" w:noHBand="0" w:noVBand="0" w:val="0020"/>
                    <w:jc w:val="start"/>
                    <w:tblLayout w:type="fixed"/>
                  </w:tblPr>
                  <w:tblGrid>
                    <w:gridCol w:w="1552"/>
                    <w:gridCol w:w="1552"/>
                    <w:gridCol w:w="1552"/>
                    <w:gridCol w:w="1552"/>
                    <w:gridCol w:w="1552"/>
                  </w:tblGrid>
                  <w:tr>
                    <w:trPr>
                      <w:tblHeader w:val="true"/>
                    </w:trPr>
                    <w:tc>
                      <w:tcPr/>
                      <w:p>
                        <w:pPr>
                          <w:pStyle w:val="Compact"/>
                          <w:jc w:val="left"/>
                          <w:jc w:val="center"/>
                          <w:jc w:val="left"/>
                        </w:pPr>
                        <w:r>
                          <w:t xml:space="preserve">Band</w:t>
                        </w:r>
                      </w:p>
                    </w:tc>
                    <w:tc>
                      <w:tcPr/>
                      <w:p>
                        <w:pPr>
                          <w:pStyle w:val="Compact"/>
                          <w:jc w:val="left"/>
                          <w:jc w:val="center"/>
                          <w:jc w:val="left"/>
                        </w:pPr>
                        <w:r>
                          <w:t xml:space="preserve">Band Type</w:t>
                        </w:r>
                      </w:p>
                    </w:tc>
                    <w:tc>
                      <w:tcPr/>
                      <w:p>
                        <w:pPr>
                          <w:pStyle w:val="Compact"/>
                          <w:jc w:val="right"/>
                          <w:jc w:val="center"/>
                          <w:jc w:val="left"/>
                        </w:pPr>
                        <w:r>
                          <w:t xml:space="preserve">Mean</w:t>
                        </w:r>
                      </w:p>
                    </w:tc>
                    <w:tc>
                      <w:tcPr/>
                      <w:p>
                        <w:pPr>
                          <w:pStyle w:val="Compact"/>
                          <w:jc w:val="right"/>
                          <w:jc w:val="center"/>
                          <w:jc w:val="left"/>
                        </w:pPr>
                        <w:r>
                          <w:t xml:space="preserve">Median</w:t>
                        </w:r>
                      </w:p>
                    </w:tc>
                    <w:tc>
                      <w:tcPr/>
                      <w:p>
                        <w:pPr>
                          <w:pStyle w:val="Compact"/>
                          <w:jc w:val="right"/>
                          <w:jc w:val="center"/>
                          <w:jc w:val="left"/>
                        </w:pPr>
                        <w:r>
                          <w:t xml:space="preserve">Sd</w:t>
                        </w:r>
                      </w:p>
                    </w:tc>
                  </w:tr>
                  <w:tr>
                    <w:tc>
                      <w:tcPr/>
                      <w:p>
                        <w:pPr>
                          <w:pStyle w:val="Compact"/>
                          <w:jc w:val="left"/>
                          <w:jc w:val="center"/>
                          <w:jc w:val="left"/>
                        </w:pPr>
                        <w:r>
                          <w:t xml:space="preserve">100-300</w:t>
                        </w:r>
                      </w:p>
                    </w:tc>
                    <w:tc>
                      <w:tcPr/>
                      <w:p>
                        <w:pPr>
                          <w:pStyle w:val="Compact"/>
                          <w:jc w:val="left"/>
                          <w:jc w:val="center"/>
                          <w:jc w:val="left"/>
                        </w:pPr>
                        <w:r>
                          <w:t xml:space="preserve">Extrapolation</w:t>
                        </w:r>
                      </w:p>
                    </w:tc>
                    <w:tc>
                      <w:tcPr/>
                      <w:p>
                        <w:pPr>
                          <w:pStyle w:val="Compact"/>
                          <w:jc w:val="right"/>
                          <w:jc w:val="center"/>
                          <w:jc w:val="left"/>
                        </w:pPr>
                        <w:r>
                          <w:t xml:space="preserve">254</w:t>
                        </w:r>
                      </w:p>
                    </w:tc>
                    <w:tc>
                      <w:tcPr/>
                      <w:p>
                        <w:pPr>
                          <w:pStyle w:val="Compact"/>
                          <w:jc w:val="right"/>
                          <w:jc w:val="center"/>
                          <w:jc w:val="left"/>
                        </w:pPr>
                        <w:r>
                          <w:t xml:space="preserve">148</w:t>
                        </w:r>
                      </w:p>
                    </w:tc>
                    <w:tc>
                      <w:tcPr/>
                      <w:p>
                        <w:pPr>
                          <w:pStyle w:val="Compact"/>
                          <w:jc w:val="right"/>
                          <w:jc w:val="center"/>
                          <w:jc w:val="left"/>
                        </w:pPr>
                        <w:r>
                          <w:t xml:space="preserve">298</w:t>
                        </w:r>
                      </w:p>
                    </w:tc>
                  </w:tr>
                  <w:tr>
                    <w:tc>
                      <w:tcPr/>
                      <w:p>
                        <w:pPr>
                          <w:pStyle w:val="Compact"/>
                          <w:jc w:val="left"/>
                          <w:jc w:val="center"/>
                          <w:jc w:val="left"/>
                        </w:pPr>
                        <w:r>
                          <w:t xml:space="preserve">350-550</w:t>
                        </w:r>
                      </w:p>
                    </w:tc>
                    <w:tc>
                      <w:tcPr/>
                      <w:p>
                        <w:pPr>
                          <w:pStyle w:val="Compact"/>
                          <w:jc w:val="left"/>
                          <w:jc w:val="center"/>
                          <w:jc w:val="left"/>
                        </w:pPr>
                        <w:r>
                          <w:t xml:space="preserve">Extrapolation</w:t>
                        </w:r>
                      </w:p>
                    </w:tc>
                    <w:tc>
                      <w:tcPr/>
                      <w:p>
                        <w:pPr>
                          <w:pStyle w:val="Compact"/>
                          <w:jc w:val="right"/>
                          <w:jc w:val="center"/>
                          <w:jc w:val="left"/>
                        </w:pPr>
                        <w:r>
                          <w:t xml:space="preserve">191</w:t>
                        </w:r>
                      </w:p>
                    </w:tc>
                    <w:tc>
                      <w:tcPr/>
                      <w:p>
                        <w:pPr>
                          <w:pStyle w:val="Compact"/>
                          <w:jc w:val="right"/>
                          <w:jc w:val="center"/>
                          <w:jc w:val="left"/>
                        </w:pPr>
                        <w:r>
                          <w:t xml:space="preserve">110</w:t>
                        </w:r>
                      </w:p>
                    </w:tc>
                    <w:tc>
                      <w:tcPr/>
                      <w:p>
                        <w:pPr>
                          <w:pStyle w:val="Compact"/>
                          <w:jc w:val="right"/>
                          <w:jc w:val="center"/>
                          <w:jc w:val="left"/>
                        </w:pPr>
                        <w:r>
                          <w:t xml:space="preserve">229</w:t>
                        </w:r>
                      </w:p>
                    </w:tc>
                  </w:tr>
                  <w:tr>
                    <w:tc>
                      <w:tcPr/>
                      <w:p>
                        <w:pPr>
                          <w:pStyle w:val="Compact"/>
                          <w:jc w:val="left"/>
                          <w:jc w:val="center"/>
                          <w:jc w:val="left"/>
                        </w:pPr>
                        <w:r>
                          <w:t xml:space="preserve">600-800</w:t>
                        </w:r>
                      </w:p>
                    </w:tc>
                    <w:tc>
                      <w:tcPr/>
                      <w:p>
                        <w:pPr>
                          <w:pStyle w:val="Compact"/>
                          <w:jc w:val="left"/>
                          <w:jc w:val="center"/>
                          <w:jc w:val="left"/>
                        </w:pPr>
                        <w:r>
                          <w:t xml:space="preserve">Extrapolation</w:t>
                        </w:r>
                      </w:p>
                    </w:tc>
                    <w:tc>
                      <w:tcPr/>
                      <w:p>
                        <w:pPr>
                          <w:pStyle w:val="Compact"/>
                          <w:jc w:val="right"/>
                          <w:jc w:val="center"/>
                          <w:jc w:val="left"/>
                        </w:pPr>
                        <w:r>
                          <w:t xml:space="preserve">150</w:t>
                        </w:r>
                      </w:p>
                    </w:tc>
                    <w:tc>
                      <w:tcPr/>
                      <w:p>
                        <w:pPr>
                          <w:pStyle w:val="Compact"/>
                          <w:jc w:val="right"/>
                          <w:jc w:val="center"/>
                          <w:jc w:val="left"/>
                        </w:pPr>
                        <w:r>
                          <w:t xml:space="preserve">84</w:t>
                        </w:r>
                      </w:p>
                    </w:tc>
                    <w:tc>
                      <w:tcPr/>
                      <w:p>
                        <w:pPr>
                          <w:pStyle w:val="Compact"/>
                          <w:jc w:val="right"/>
                          <w:jc w:val="center"/>
                          <w:jc w:val="left"/>
                        </w:pPr>
                        <w:r>
                          <w:t xml:space="preserve">184</w:t>
                        </w:r>
                      </w:p>
                    </w:tc>
                  </w:tr>
                  <w:tr>
                    <w:tc>
                      <w:tcPr/>
                      <w:p>
                        <w:pPr>
                          <w:pStyle w:val="Compact"/>
                          <w:jc w:val="left"/>
                          <w:jc w:val="center"/>
                          <w:jc w:val="left"/>
                        </w:pPr>
                        <w:r>
                          <w:t xml:space="preserve">800-1000</w:t>
                        </w:r>
                      </w:p>
                    </w:tc>
                    <w:tc>
                      <w:tcPr/>
                      <w:p>
                        <w:pPr>
                          <w:pStyle w:val="Compact"/>
                          <w:jc w:val="left"/>
                          <w:jc w:val="center"/>
                          <w:jc w:val="left"/>
                        </w:pPr>
                        <w:r>
                          <w:t xml:space="preserve">Trained</w:t>
                        </w:r>
                      </w:p>
                    </w:tc>
                    <w:tc>
                      <w:tcPr/>
                      <w:p>
                        <w:pPr>
                          <w:pStyle w:val="Compact"/>
                          <w:jc w:val="right"/>
                          <w:jc w:val="center"/>
                          <w:jc w:val="left"/>
                        </w:pPr>
                        <w:r>
                          <w:t xml:space="preserve">184</w:t>
                        </w:r>
                      </w:p>
                    </w:tc>
                    <w:tc>
                      <w:tcPr/>
                      <w:p>
                        <w:pPr>
                          <w:pStyle w:val="Compact"/>
                          <w:jc w:val="right"/>
                          <w:jc w:val="center"/>
                          <w:jc w:val="left"/>
                        </w:pPr>
                        <w:r>
                          <w:t xml:space="preserve">106</w:t>
                        </w:r>
                      </w:p>
                    </w:tc>
                    <w:tc>
                      <w:tcPr/>
                      <w:p>
                        <w:pPr>
                          <w:pStyle w:val="Compact"/>
                          <w:jc w:val="right"/>
                          <w:jc w:val="center"/>
                          <w:jc w:val="left"/>
                        </w:pPr>
                        <w:r>
                          <w:t xml:space="preserve">242</w:t>
                        </w:r>
                      </w:p>
                    </w:tc>
                  </w:tr>
                  <w:tr>
                    <w:tc>
                      <w:tcPr/>
                      <w:p>
                        <w:pPr>
                          <w:pStyle w:val="Compact"/>
                          <w:jc w:val="left"/>
                          <w:jc w:val="center"/>
                          <w:jc w:val="left"/>
                        </w:pPr>
                        <w:r>
                          <w:t xml:space="preserve">1000-1200</w:t>
                        </w:r>
                      </w:p>
                    </w:tc>
                    <w:tc>
                      <w:tcPr/>
                      <w:p>
                        <w:pPr>
                          <w:pStyle w:val="Compact"/>
                          <w:jc w:val="left"/>
                          <w:jc w:val="center"/>
                          <w:jc w:val="left"/>
                        </w:pPr>
                        <w:r>
                          <w:t xml:space="preserve">Extrapolation</w:t>
                        </w:r>
                      </w:p>
                    </w:tc>
                    <w:tc>
                      <w:tcPr/>
                      <w:p>
                        <w:pPr>
                          <w:pStyle w:val="Compact"/>
                          <w:jc w:val="right"/>
                          <w:jc w:val="center"/>
                          <w:jc w:val="left"/>
                        </w:pPr>
                        <w:r>
                          <w:t xml:space="preserve">233</w:t>
                        </w:r>
                      </w:p>
                    </w:tc>
                    <w:tc>
                      <w:tcPr/>
                      <w:p>
                        <w:pPr>
                          <w:pStyle w:val="Compact"/>
                          <w:jc w:val="right"/>
                          <w:jc w:val="center"/>
                          <w:jc w:val="left"/>
                        </w:pPr>
                        <w:r>
                          <w:t xml:space="preserve">157</w:t>
                        </w:r>
                      </w:p>
                    </w:tc>
                    <w:tc>
                      <w:tcPr/>
                      <w:p>
                        <w:pPr>
                          <w:pStyle w:val="Compact"/>
                          <w:jc w:val="right"/>
                          <w:jc w:val="center"/>
                          <w:jc w:val="left"/>
                        </w:pPr>
                        <w:r>
                          <w:t xml:space="preserve">282</w:t>
                        </w:r>
                      </w:p>
                    </w:tc>
                  </w:tr>
                  <w:tr>
                    <w:tc>
                      <w:tcPr/>
                      <w:p>
                        <w:pPr>
                          <w:pStyle w:val="Compact"/>
                          <w:jc w:val="left"/>
                          <w:jc w:val="center"/>
                          <w:jc w:val="left"/>
                        </w:pPr>
                        <w:r>
                          <w:t xml:space="preserve">1200-1400</w:t>
                        </w:r>
                      </w:p>
                    </w:tc>
                    <w:tc>
                      <w:tcPr/>
                      <w:p>
                        <w:pPr>
                          <w:pStyle w:val="Compact"/>
                          <w:jc w:val="left"/>
                          <w:jc w:val="center"/>
                          <w:jc w:val="left"/>
                        </w:pPr>
                        <w:r>
                          <w:t xml:space="preserve">Extrapolation</w:t>
                        </w:r>
                      </w:p>
                    </w:tc>
                    <w:tc>
                      <w:tcPr/>
                      <w:p>
                        <w:pPr>
                          <w:pStyle w:val="Compact"/>
                          <w:jc w:val="right"/>
                          <w:jc w:val="center"/>
                          <w:jc w:val="left"/>
                        </w:pPr>
                        <w:r>
                          <w:t xml:space="preserve">287</w:t>
                        </w:r>
                      </w:p>
                    </w:tc>
                    <w:tc>
                      <w:tcPr/>
                      <w:p>
                        <w:pPr>
                          <w:pStyle w:val="Compact"/>
                          <w:jc w:val="right"/>
                          <w:jc w:val="center"/>
                          <w:jc w:val="left"/>
                        </w:pPr>
                        <w:r>
                          <w:t xml:space="preserve">214</w:t>
                        </w:r>
                      </w:p>
                    </w:tc>
                    <w:tc>
                      <w:tcPr/>
                      <w:p>
                        <w:pPr>
                          <w:pStyle w:val="Compact"/>
                          <w:jc w:val="right"/>
                          <w:jc w:val="center"/>
                          <w:jc w:val="left"/>
                        </w:pPr>
                        <w:r>
                          <w:t xml:space="preserve">290</w:t>
                        </w:r>
                      </w:p>
                    </w:tc>
                  </w:tr>
                </w:tbl>
                <w:bookmarkEnd w:id="94"/>
                <w:bookmarkEnd w:id="95"/>
                <w:p/>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97" w:name="tbl-e1-test-nf-deviation-2"/>
                <w:p>
                  <w:pPr>
                    <w:jc w:val="center"/>
                    <w:jc w:val="left"/>
                  </w:pPr>
                  <w:pPr>
                    <w:jc w:val="start"/>
                    <w:spacing w:before="200"/>
                    <w:pStyle w:val="ImageCaption"/>
                  </w:pPr>
                  <w:r>
                    <w:t xml:space="preserve">(b) Intersection of samples with all labels available</w:t>
                  </w:r>
                </w:p>
                <w:bookmarkStart w:id="96" w:name="tbl-e1-test-nf-deviation-2"/>
                <w:tbl>
                  <w:tblPr>
                    <w:tblStyle w:val="Table"/>
                    <w:tblW w:type="pct" w:w="4900"/>
                    <w:tblLook w:firstRow="1" w:lastRow="0" w:firstColumn="0" w:lastColumn="0" w:noHBand="0" w:noVBand="0" w:val="0020"/>
                    <w:jc w:val="start"/>
                    <w:tblLayout w:type="fixed"/>
                  </w:tblPr>
                  <w:tblGrid>
                    <w:gridCol w:w="1552"/>
                    <w:gridCol w:w="1552"/>
                    <w:gridCol w:w="1552"/>
                    <w:gridCol w:w="1552"/>
                    <w:gridCol w:w="1552"/>
                  </w:tblGrid>
                  <w:tr>
                    <w:trPr>
                      <w:tblHeader w:val="true"/>
                    </w:trPr>
                    <w:tc>
                      <w:tcPr/>
                      <w:p>
                        <w:pPr>
                          <w:pStyle w:val="Compact"/>
                          <w:jc w:val="left"/>
                          <w:jc w:val="center"/>
                          <w:jc w:val="left"/>
                        </w:pPr>
                        <w:r>
                          <w:t xml:space="preserve">Band</w:t>
                        </w:r>
                      </w:p>
                    </w:tc>
                    <w:tc>
                      <w:tcPr/>
                      <w:p>
                        <w:pPr>
                          <w:pStyle w:val="Compact"/>
                          <w:jc w:val="left"/>
                          <w:jc w:val="center"/>
                          <w:jc w:val="left"/>
                        </w:pPr>
                        <w:r>
                          <w:t xml:space="preserve">Band Type</w:t>
                        </w:r>
                      </w:p>
                    </w:tc>
                    <w:tc>
                      <w:tcPr/>
                      <w:p>
                        <w:pPr>
                          <w:pStyle w:val="Compact"/>
                          <w:jc w:val="right"/>
                          <w:jc w:val="center"/>
                          <w:jc w:val="left"/>
                        </w:pPr>
                        <w:r>
                          <w:t xml:space="preserve">Mean</w:t>
                        </w:r>
                      </w:p>
                    </w:tc>
                    <w:tc>
                      <w:tcPr/>
                      <w:p>
                        <w:pPr>
                          <w:pStyle w:val="Compact"/>
                          <w:jc w:val="right"/>
                          <w:jc w:val="center"/>
                          <w:jc w:val="left"/>
                        </w:pPr>
                        <w:r>
                          <w:t xml:space="preserve">Median</w:t>
                        </w:r>
                      </w:p>
                    </w:tc>
                    <w:tc>
                      <w:tcPr/>
                      <w:p>
                        <w:pPr>
                          <w:pStyle w:val="Compact"/>
                          <w:jc w:val="right"/>
                          <w:jc w:val="center"/>
                          <w:jc w:val="left"/>
                        </w:pPr>
                        <w:r>
                          <w:t xml:space="preserve">Sd</w:t>
                        </w:r>
                      </w:p>
                    </w:tc>
                  </w:tr>
                  <w:tr>
                    <w:tc>
                      <w:tcPr/>
                      <w:p>
                        <w:pPr>
                          <w:pStyle w:val="Compact"/>
                          <w:jc w:val="left"/>
                          <w:jc w:val="center"/>
                          <w:jc w:val="left"/>
                        </w:pPr>
                        <w:r>
                          <w:t xml:space="preserve">100-300</w:t>
                        </w:r>
                      </w:p>
                    </w:tc>
                    <w:tc>
                      <w:tcPr/>
                      <w:p>
                        <w:pPr>
                          <w:pStyle w:val="Compact"/>
                          <w:jc w:val="left"/>
                          <w:jc w:val="center"/>
                          <w:jc w:val="left"/>
                        </w:pPr>
                        <w:r>
                          <w:t xml:space="preserve">Extrapolation</w:t>
                        </w:r>
                      </w:p>
                    </w:tc>
                    <w:tc>
                      <w:tcPr/>
                      <w:p>
                        <w:pPr>
                          <w:pStyle w:val="Compact"/>
                          <w:jc w:val="right"/>
                          <w:jc w:val="center"/>
                          <w:jc w:val="left"/>
                        </w:pPr>
                        <w:r>
                          <w:t xml:space="preserve">386</w:t>
                        </w:r>
                      </w:p>
                    </w:tc>
                    <w:tc>
                      <w:tcPr/>
                      <w:p>
                        <w:pPr>
                          <w:pStyle w:val="Compact"/>
                          <w:jc w:val="right"/>
                          <w:jc w:val="center"/>
                          <w:jc w:val="left"/>
                        </w:pPr>
                        <w:r>
                          <w:t xml:space="preserve">233</w:t>
                        </w:r>
                      </w:p>
                    </w:tc>
                    <w:tc>
                      <w:tcPr/>
                      <w:p>
                        <w:pPr>
                          <w:pStyle w:val="Compact"/>
                          <w:jc w:val="right"/>
                          <w:jc w:val="center"/>
                          <w:jc w:val="left"/>
                        </w:pPr>
                        <w:r>
                          <w:t xml:space="preserve">426</w:t>
                        </w:r>
                      </w:p>
                    </w:tc>
                  </w:tr>
                  <w:tr>
                    <w:tc>
                      <w:tcPr/>
                      <w:p>
                        <w:pPr>
                          <w:pStyle w:val="Compact"/>
                          <w:jc w:val="left"/>
                          <w:jc w:val="center"/>
                          <w:jc w:val="left"/>
                        </w:pPr>
                        <w:r>
                          <w:t xml:space="preserve">350-550</w:t>
                        </w:r>
                      </w:p>
                    </w:tc>
                    <w:tc>
                      <w:tcPr/>
                      <w:p>
                        <w:pPr>
                          <w:pStyle w:val="Compact"/>
                          <w:jc w:val="left"/>
                          <w:jc w:val="center"/>
                          <w:jc w:val="left"/>
                        </w:pPr>
                        <w:r>
                          <w:t xml:space="preserve">Extrapolation</w:t>
                        </w:r>
                      </w:p>
                    </w:tc>
                    <w:tc>
                      <w:tcPr/>
                      <w:p>
                        <w:pPr>
                          <w:pStyle w:val="Compact"/>
                          <w:jc w:val="right"/>
                          <w:jc w:val="center"/>
                          <w:jc w:val="left"/>
                        </w:pPr>
                        <w:r>
                          <w:t xml:space="preserve">285</w:t>
                        </w:r>
                      </w:p>
                    </w:tc>
                    <w:tc>
                      <w:tcPr/>
                      <w:p>
                        <w:pPr>
                          <w:pStyle w:val="Compact"/>
                          <w:jc w:val="right"/>
                          <w:jc w:val="center"/>
                          <w:jc w:val="left"/>
                        </w:pPr>
                        <w:r>
                          <w:t xml:space="preserve">149</w:t>
                        </w:r>
                      </w:p>
                    </w:tc>
                    <w:tc>
                      <w:tcPr/>
                      <w:p>
                        <w:pPr>
                          <w:pStyle w:val="Compact"/>
                          <w:jc w:val="right"/>
                          <w:jc w:val="center"/>
                          <w:jc w:val="left"/>
                        </w:pPr>
                        <w:r>
                          <w:t xml:space="preserve">340</w:t>
                        </w:r>
                      </w:p>
                    </w:tc>
                  </w:tr>
                  <w:tr>
                    <w:tc>
                      <w:tcPr/>
                      <w:p>
                        <w:pPr>
                          <w:pStyle w:val="Compact"/>
                          <w:jc w:val="left"/>
                          <w:jc w:val="center"/>
                          <w:jc w:val="left"/>
                        </w:pPr>
                        <w:r>
                          <w:t xml:space="preserve">600-800</w:t>
                        </w:r>
                      </w:p>
                    </w:tc>
                    <w:tc>
                      <w:tcPr/>
                      <w:p>
                        <w:pPr>
                          <w:pStyle w:val="Compact"/>
                          <w:jc w:val="left"/>
                          <w:jc w:val="center"/>
                          <w:jc w:val="left"/>
                        </w:pPr>
                        <w:r>
                          <w:t xml:space="preserve">Extrapolation</w:t>
                        </w:r>
                      </w:p>
                    </w:tc>
                    <w:tc>
                      <w:tcPr/>
                      <w:p>
                        <w:pPr>
                          <w:pStyle w:val="Compact"/>
                          <w:jc w:val="right"/>
                          <w:jc w:val="center"/>
                          <w:jc w:val="left"/>
                        </w:pPr>
                        <w:r>
                          <w:t xml:space="preserve">234</w:t>
                        </w:r>
                      </w:p>
                    </w:tc>
                    <w:tc>
                      <w:tcPr/>
                      <w:p>
                        <w:pPr>
                          <w:pStyle w:val="Compact"/>
                          <w:jc w:val="right"/>
                          <w:jc w:val="center"/>
                          <w:jc w:val="left"/>
                        </w:pPr>
                        <w:r>
                          <w:t xml:space="preserve">144</w:t>
                        </w:r>
                      </w:p>
                    </w:tc>
                    <w:tc>
                      <w:tcPr/>
                      <w:p>
                        <w:pPr>
                          <w:pStyle w:val="Compact"/>
                          <w:jc w:val="right"/>
                          <w:jc w:val="center"/>
                          <w:jc w:val="left"/>
                        </w:pPr>
                        <w:r>
                          <w:t xml:space="preserve">270</w:t>
                        </w:r>
                      </w:p>
                    </w:tc>
                  </w:tr>
                  <w:tr>
                    <w:tc>
                      <w:tcPr/>
                      <w:p>
                        <w:pPr>
                          <w:pStyle w:val="Compact"/>
                          <w:jc w:val="left"/>
                          <w:jc w:val="center"/>
                          <w:jc w:val="left"/>
                        </w:pPr>
                        <w:r>
                          <w:t xml:space="preserve">800-1000</w:t>
                        </w:r>
                      </w:p>
                    </w:tc>
                    <w:tc>
                      <w:tcPr/>
                      <w:p>
                        <w:pPr>
                          <w:pStyle w:val="Compact"/>
                          <w:jc w:val="left"/>
                          <w:jc w:val="center"/>
                          <w:jc w:val="left"/>
                        </w:pPr>
                        <w:r>
                          <w:t xml:space="preserve">Trained</w:t>
                        </w:r>
                      </w:p>
                    </w:tc>
                    <w:tc>
                      <w:tcPr/>
                      <w:p>
                        <w:pPr>
                          <w:pStyle w:val="Compact"/>
                          <w:jc w:val="right"/>
                          <w:jc w:val="center"/>
                          <w:jc w:val="left"/>
                        </w:pPr>
                        <w:r>
                          <w:t xml:space="preserve">221</w:t>
                        </w:r>
                      </w:p>
                    </w:tc>
                    <w:tc>
                      <w:tcPr/>
                      <w:p>
                        <w:pPr>
                          <w:pStyle w:val="Compact"/>
                          <w:jc w:val="right"/>
                          <w:jc w:val="center"/>
                          <w:jc w:val="left"/>
                        </w:pPr>
                        <w:r>
                          <w:t xml:space="preserve">149</w:t>
                        </w:r>
                      </w:p>
                    </w:tc>
                    <w:tc>
                      <w:tcPr/>
                      <w:p>
                        <w:pPr>
                          <w:pStyle w:val="Compact"/>
                          <w:jc w:val="right"/>
                          <w:jc w:val="center"/>
                          <w:jc w:val="left"/>
                        </w:pPr>
                        <w:r>
                          <w:t xml:space="preserve">248</w:t>
                        </w:r>
                      </w:p>
                    </w:tc>
                  </w:tr>
                  <w:tr>
                    <w:tc>
                      <w:tcPr/>
                      <w:p>
                        <w:pPr>
                          <w:pStyle w:val="Compact"/>
                          <w:jc w:val="left"/>
                          <w:jc w:val="center"/>
                          <w:jc w:val="left"/>
                        </w:pPr>
                        <w:r>
                          <w:t xml:space="preserve">1000-1200</w:t>
                        </w:r>
                      </w:p>
                    </w:tc>
                    <w:tc>
                      <w:tcPr/>
                      <w:p>
                        <w:pPr>
                          <w:pStyle w:val="Compact"/>
                          <w:jc w:val="left"/>
                          <w:jc w:val="center"/>
                          <w:jc w:val="left"/>
                        </w:pPr>
                        <w:r>
                          <w:t xml:space="preserve">Trained</w:t>
                        </w:r>
                      </w:p>
                    </w:tc>
                    <w:tc>
                      <w:tcPr/>
                      <w:p>
                        <w:pPr>
                          <w:pStyle w:val="Compact"/>
                          <w:jc w:val="right"/>
                          <w:jc w:val="center"/>
                          <w:jc w:val="left"/>
                        </w:pPr>
                        <w:r>
                          <w:t xml:space="preserve">208</w:t>
                        </w:r>
                      </w:p>
                    </w:tc>
                    <w:tc>
                      <w:tcPr/>
                      <w:p>
                        <w:pPr>
                          <w:pStyle w:val="Compact"/>
                          <w:jc w:val="right"/>
                          <w:jc w:val="center"/>
                          <w:jc w:val="left"/>
                        </w:pPr>
                        <w:r>
                          <w:t xml:space="preserve">142</w:t>
                        </w:r>
                      </w:p>
                    </w:tc>
                    <w:tc>
                      <w:tcPr/>
                      <w:p>
                        <w:pPr>
                          <w:pStyle w:val="Compact"/>
                          <w:jc w:val="right"/>
                          <w:jc w:val="center"/>
                          <w:jc w:val="left"/>
                        </w:pPr>
                        <w:r>
                          <w:t xml:space="preserve">226</w:t>
                        </w:r>
                      </w:p>
                    </w:tc>
                  </w:tr>
                  <w:tr>
                    <w:tc>
                      <w:tcPr/>
                      <w:p>
                        <w:pPr>
                          <w:pStyle w:val="Compact"/>
                          <w:jc w:val="left"/>
                          <w:jc w:val="center"/>
                          <w:jc w:val="left"/>
                        </w:pPr>
                        <w:r>
                          <w:t xml:space="preserve">1200-1400</w:t>
                        </w:r>
                      </w:p>
                    </w:tc>
                    <w:tc>
                      <w:tcPr/>
                      <w:p>
                        <w:pPr>
                          <w:pStyle w:val="Compact"/>
                          <w:jc w:val="left"/>
                          <w:jc w:val="center"/>
                          <w:jc w:val="left"/>
                        </w:pPr>
                        <w:r>
                          <w:t xml:space="preserve">Trained</w:t>
                        </w:r>
                      </w:p>
                    </w:tc>
                    <w:tc>
                      <w:tcPr/>
                      <w:p>
                        <w:pPr>
                          <w:pStyle w:val="Compact"/>
                          <w:jc w:val="right"/>
                          <w:jc w:val="center"/>
                          <w:jc w:val="left"/>
                        </w:pPr>
                        <w:r>
                          <w:t xml:space="preserve">242</w:t>
                        </w:r>
                      </w:p>
                    </w:tc>
                    <w:tc>
                      <w:tcPr/>
                      <w:p>
                        <w:pPr>
                          <w:pStyle w:val="Compact"/>
                          <w:jc w:val="right"/>
                          <w:jc w:val="center"/>
                          <w:jc w:val="left"/>
                        </w:pPr>
                        <w:r>
                          <w:t xml:space="preserve">182</w:t>
                        </w:r>
                      </w:p>
                    </w:tc>
                    <w:tc>
                      <w:tcPr/>
                      <w:p>
                        <w:pPr>
                          <w:pStyle w:val="Compact"/>
                          <w:jc w:val="right"/>
                          <w:jc w:val="center"/>
                          <w:jc w:val="left"/>
                        </w:pPr>
                        <w:r>
                          <w:t xml:space="preserve">235</w:t>
                        </w:r>
                      </w:p>
                    </w:tc>
                  </w:tr>
                </w:tbl>
                <w:bookmarkEnd w:id="96"/>
                <w:bookmarkEnd w:id="97"/>
                <w:p/>
              </w:tc>
            </w:tr>
          </w:tbl>
          <w:p/>
        </w:tc>
      </w:tr>
    </w:tbl>
    <w:p>
      <w:pPr>
        <w:pStyle w:val="BodyText"/>
      </w:pPr>
      <w:pPr>
        <w:spacing w:before="200"/>
        <w:pStyle w:val="ImageCaption"/>
      </w:pPr>
      <w:r>
        <w:t xml:space="preserve">Table 4: Testing Deviation - Empirical Summary</w:t>
      </w:r>
    </w:p>
    <w:bookmarkEnd w:id="98"/>
    <w:bookmarkEnd w:id="99"/>
    <w:bookmarkStart w:id="130" w:name="results-2"/>
    <w:p>
      <w:pPr>
        <w:pStyle w:val="Heading2"/>
      </w:pPr>
      <w:r>
        <w:t xml:space="preserve">Results</w:t>
      </w:r>
    </w:p>
    <w:bookmarkStart w:id="129" w:name="testing-phase---no-feedback."/>
    <w:p>
      <w:pPr>
        <w:pStyle w:val="Heading3"/>
      </w:pPr>
      <w:r>
        <w:t xml:space="preserve">Testing Phase - No feedback.</w:t>
      </w:r>
    </w:p>
    <w:p>
      <w:pPr>
        <w:pStyle w:val="FirstParagraph"/>
      </w:pPr>
      <w:r>
        <w:t xml:space="preserve">In the first part of the testing phase, participants are tested from each of the velocity bands, and receive no feedback after each throw.</w:t>
      </w:r>
    </w:p>
    <w:bookmarkStart w:id="106" w:name="deviation-from-target-band"/>
    <w:p>
      <w:pPr>
        <w:pStyle w:val="Heading4"/>
      </w:pPr>
      <w:r>
        <w:t xml:space="preserve">Deviation From Target Band</w:t>
      </w:r>
    </w:p>
    <w:p>
      <w:pPr>
        <w:pStyle w:val="FirstParagraph"/>
      </w:pPr>
      <w:r>
        <w:t xml:space="preserve">Descriptive summaries testing deviation data are provided in</w:t>
      </w:r>
      <w:r>
        <w:t xml:space="preserve"> </w:t>
      </w:r>
      <w:hyperlink w:anchor="tbl-e1-test-nf-deviation">
        <w:r>
          <w:rPr>
            <w:rStyle w:val="Hyperlink"/>
          </w:rPr>
          <w:t xml:space="preserve">Table 4</w:t>
        </w:r>
      </w:hyperlink>
      <w:r>
        <w:t xml:space="preserve"> </w:t>
      </w:r>
      <w:r>
        <w:t xml:space="preserve">and</w:t>
      </w:r>
      <w:r>
        <w:t xml:space="preserve"> </w:t>
      </w:r>
      <w:hyperlink w:anchor="fig-e1-test-dev">
        <w:r>
          <w:rPr>
            <w:rStyle w:val="Hyperlink"/>
          </w:rPr>
          <w:t xml:space="preserve">Figure 12</w:t>
        </w:r>
      </w:hyperlink>
      <w:r>
        <w:t xml:space="preserve">. To model differences in accuracy between groups, we used Bayesian mixed effects regression models to the trial level data from the testing phase. The primary model predicted the absolute deviation from the target velocity band (dist) as a function of training condition (condit), target velocity band (band), and their interaction, with random intercepts and slopes for each participant (id).</w:t>
      </w:r>
    </w:p>
    <w:tbl>
      <w:tblPr>
        <w:tblStyle w:val="Table"/>
        <w:tblW w:type="pct" w:w="5000"/>
        <w:tblLook w:firstRow="0" w:lastRow="0" w:firstColumn="0" w:lastColumn="0" w:noHBand="0" w:noVBand="0" w:val="0000"/>
        <w:jc w:val="start"/>
        <w:tblLayout w:type="fixed"/>
      </w:tblPr>
      <w:tblGrid>
        <w:gridCol w:w="7920"/>
      </w:tblGrid>
      <w:tr>
        <w:tc>
          <w:tcPr/>
          <w:bookmarkStart w:id="100" w:name="fig-e1-test-dev"/>
          <w:p>
            <w:pPr>
              <w:pStyle w:val="Compact"/>
              <w:jc w:val="center"/>
            </w:pPr>
          </w:p>
          <w:p>
            <w:pPr>
              <w:jc w:val="center"/>
            </w:pPr>
            <w:pPr>
              <w:jc w:val="start"/>
              <w:spacing w:before="200"/>
              <w:pStyle w:val="ImageCaption"/>
            </w:pPr>
            <w:r>
              <w:t xml:space="preserve">Figure 12: E1. Deviations from target band during testing without feedback stage.</w:t>
            </w:r>
          </w:p>
          <w:bookmarkEnd w:id="100"/>
        </w:tc>
      </w:tr>
    </w:tbl>
    <w:tbl>
      <w:tblPr>
        <w:tblStyle w:val="Table"/>
        <w:tblW w:type="pct" w:w="5000"/>
        <w:tblLook w:firstRow="0" w:lastRow="0" w:firstColumn="0" w:lastColumn="0" w:noHBand="0" w:noVBand="0" w:val="0000"/>
        <w:jc w:val="start"/>
        <w:tblLayout w:type="fixed"/>
      </w:tblPr>
      <w:tblGrid>
        <w:gridCol w:w="7920"/>
      </w:tblGrid>
      <w:tr>
        <w:tc>
          <w:tcPr/>
          <w:bookmarkStart w:id="105" w:name="tbl-e1-bmm-dist"/>
          <w:p>
            <w:pPr>
              <w:jc w:val="center"/>
            </w:pPr>
            <w:pPr>
              <w:jc w:val="start"/>
              <w:spacing w:before="200"/>
              <w:pStyle w:val="ImageCaption"/>
            </w:pPr>
            <w:r>
              <w:t xml:space="preserve">Table 5: Experiment 1. Bayesian Mixed Model predicting absolute deviation as a function of condition (Constant vs. Varied) and Velocity Band</w:t>
            </w:r>
          </w:p>
          <w:tbl>
            <w:tblPr>
              <w:tblStyle w:val="Table"/>
              <w:tblW w:type="pct" w:w="5000"/>
              <w:tblLook w:firstRow="0" w:lastRow="0" w:firstColumn="0" w:lastColumn="0" w:noHBand="0" w:noVBand="0" w:val="0000"/>
              <w:jc w:val="start"/>
              <w:tblLayout w:type="fixed"/>
            </w:tblPr>
            <w:tblGrid>
              <w:gridCol w:w="7920"/>
            </w:tblGrid>
            <w:tr>
              <w:tc>
                <w:tcPr/>
                <w:bookmarkStart w:id="102" w:name="tbl-e1-bmm-dist-1"/>
                <w:p>
                  <w:pPr>
                    <w:jc w:val="center"/>
                    <w:jc w:val="center"/>
                  </w:pPr>
                  <w:pPr>
                    <w:jc w:val="start"/>
                    <w:spacing w:before="200"/>
                    <w:pStyle w:val="ImageCaption"/>
                  </w:pPr>
                  <w:r>
                    <w:t xml:space="preserve">(a) Constant Testing1 - Deviation</w:t>
                  </w:r>
                </w:p>
                <w:bookmarkStart w:id="101" w:name="tbl-e1-bmm-dist-1"/>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Term</w:t>
                        </w:r>
                      </w:p>
                    </w:tc>
                    <w:tc>
                      <w:tcPr/>
                      <w:p>
                        <w:pPr>
                          <w:pStyle w:val="Compact"/>
                          <w:jc w:val="right"/>
                          <w:jc w:val="center"/>
                          <w:jc w:val="center"/>
                        </w:pPr>
                        <w:r>
                          <w:t xml:space="preserve">Estimate</w:t>
                        </w:r>
                      </w:p>
                    </w:tc>
                    <w:tc>
                      <w:tcPr/>
                      <w:p>
                        <w:pPr>
                          <w:pStyle w:val="Compact"/>
                          <w:jc w:val="right"/>
                          <w:jc w:val="center"/>
                          <w:jc w:val="center"/>
                        </w:pPr>
                        <w:r>
                          <w:t xml:space="preserve">95% CrI Lower</w:t>
                        </w:r>
                      </w:p>
                    </w:tc>
                    <w:tc>
                      <w:tcPr/>
                      <w:p>
                        <w:pPr>
                          <w:pStyle w:val="Compact"/>
                          <w:jc w:val="right"/>
                          <w:jc w:val="center"/>
                          <w:jc w:val="center"/>
                        </w:pPr>
                        <w:r>
                          <w:t xml:space="preserve">95% CrI Upper</w:t>
                        </w:r>
                      </w:p>
                    </w:tc>
                    <w:tc>
                      <w:tcPr/>
                      <w:p>
                        <w:pPr>
                          <w:pStyle w:val="Compact"/>
                          <w:jc w:val="right"/>
                          <w:jc w:val="center"/>
                          <w:jc w:val="center"/>
                        </w:pPr>
                        <w:r>
                          <w:t xml:space="preserve">pd</w:t>
                        </w:r>
                      </w:p>
                    </w:tc>
                  </w:tr>
                  <w:tr>
                    <w:tc>
                      <w:tcPr/>
                      <w:p>
                        <w:pPr>
                          <w:pStyle w:val="Compact"/>
                          <w:jc w:val="left"/>
                          <w:jc w:val="center"/>
                          <w:jc w:val="center"/>
                        </w:pPr>
                        <w:r>
                          <w:t xml:space="preserve">Intercept</w:t>
                        </w:r>
                      </w:p>
                    </w:tc>
                    <w:tc>
                      <w:tcPr/>
                      <w:p>
                        <w:pPr>
                          <w:pStyle w:val="Compact"/>
                          <w:jc w:val="right"/>
                          <w:jc w:val="center"/>
                          <w:jc w:val="center"/>
                        </w:pPr>
                        <w:r>
                          <w:t xml:space="preserve">205.09</w:t>
                        </w:r>
                      </w:p>
                    </w:tc>
                    <w:tc>
                      <w:tcPr/>
                      <w:p>
                        <w:pPr>
                          <w:pStyle w:val="Compact"/>
                          <w:jc w:val="right"/>
                          <w:jc w:val="center"/>
                          <w:jc w:val="center"/>
                        </w:pPr>
                        <w:r>
                          <w:t xml:space="preserve">136.86</w:t>
                        </w:r>
                      </w:p>
                    </w:tc>
                    <w:tc>
                      <w:tcPr/>
                      <w:p>
                        <w:pPr>
                          <w:pStyle w:val="Compact"/>
                          <w:jc w:val="right"/>
                          <w:jc w:val="center"/>
                          <w:jc w:val="center"/>
                        </w:pPr>
                        <w:r>
                          <w:t xml:space="preserve">274.06</w:t>
                        </w:r>
                      </w:p>
                    </w:tc>
                    <w:tc>
                      <w:tcPr/>
                      <w:p>
                        <w:pPr>
                          <w:pStyle w:val="Compact"/>
                          <w:jc w:val="right"/>
                          <w:jc w:val="center"/>
                          <w:jc w:val="center"/>
                        </w:pPr>
                        <w:r>
                          <w:t xml:space="preserve">1.00</w:t>
                        </w:r>
                      </w:p>
                    </w:tc>
                  </w:tr>
                  <w:tr>
                    <w:tc>
                      <w:tcPr/>
                      <w:p>
                        <w:pPr>
                          <w:pStyle w:val="Compact"/>
                          <w:jc w:val="left"/>
                          <w:jc w:val="center"/>
                          <w:jc w:val="center"/>
                        </w:pPr>
                        <w:r>
                          <w:t xml:space="preserve">conditVaried</w:t>
                        </w:r>
                      </w:p>
                    </w:tc>
                    <w:tc>
                      <w:tcPr/>
                      <w:p>
                        <w:pPr>
                          <w:pStyle w:val="Compact"/>
                          <w:jc w:val="right"/>
                          <w:jc w:val="center"/>
                          <w:jc w:val="center"/>
                        </w:pPr>
                        <w:r>
                          <w:t xml:space="preserve">157.44</w:t>
                        </w:r>
                      </w:p>
                    </w:tc>
                    <w:tc>
                      <w:tcPr/>
                      <w:p>
                        <w:pPr>
                          <w:pStyle w:val="Compact"/>
                          <w:jc w:val="right"/>
                          <w:jc w:val="center"/>
                          <w:jc w:val="center"/>
                        </w:pPr>
                        <w:r>
                          <w:t xml:space="preserve">60.53</w:t>
                        </w:r>
                      </w:p>
                    </w:tc>
                    <w:tc>
                      <w:tcPr/>
                      <w:p>
                        <w:pPr>
                          <w:pStyle w:val="Compact"/>
                          <w:jc w:val="right"/>
                          <w:jc w:val="center"/>
                          <w:jc w:val="center"/>
                        </w:pPr>
                        <w:r>
                          <w:t xml:space="preserve">254.90</w:t>
                        </w:r>
                      </w:p>
                    </w:tc>
                    <w:tc>
                      <w:tcPr/>
                      <w:p>
                        <w:pPr>
                          <w:pStyle w:val="Compact"/>
                          <w:jc w:val="right"/>
                          <w:jc w:val="center"/>
                          <w:jc w:val="center"/>
                        </w:pPr>
                        <w:r>
                          <w:t xml:space="preserve">1.00</w:t>
                        </w:r>
                      </w:p>
                    </w:tc>
                  </w:tr>
                  <w:tr>
                    <w:tc>
                      <w:tcPr/>
                      <w:p>
                        <w:pPr>
                          <w:pStyle w:val="Compact"/>
                          <w:jc w:val="left"/>
                          <w:jc w:val="center"/>
                          <w:jc w:val="center"/>
                        </w:pPr>
                        <w:r>
                          <w:t xml:space="preserve">Band</w:t>
                        </w:r>
                      </w:p>
                    </w:tc>
                    <w:tc>
                      <w:tcPr/>
                      <w:p>
                        <w:pPr>
                          <w:pStyle w:val="Compact"/>
                          <w:jc w:val="right"/>
                          <w:jc w:val="center"/>
                          <w:jc w:val="center"/>
                        </w:pPr>
                        <w:r>
                          <w:t xml:space="preserve">0.01</w:t>
                        </w:r>
                      </w:p>
                    </w:tc>
                    <w:tc>
                      <w:tcPr/>
                      <w:p>
                        <w:pPr>
                          <w:pStyle w:val="Compact"/>
                          <w:jc w:val="right"/>
                          <w:jc w:val="center"/>
                          <w:jc w:val="center"/>
                        </w:pPr>
                        <w:r>
                          <w:t xml:space="preserve">-0.07</w:t>
                        </w:r>
                      </w:p>
                    </w:tc>
                    <w:tc>
                      <w:tcPr/>
                      <w:p>
                        <w:pPr>
                          <w:pStyle w:val="Compact"/>
                          <w:jc w:val="right"/>
                          <w:jc w:val="center"/>
                          <w:jc w:val="center"/>
                        </w:pPr>
                        <w:r>
                          <w:t xml:space="preserve">0.08</w:t>
                        </w:r>
                      </w:p>
                    </w:tc>
                    <w:tc>
                      <w:tcPr/>
                      <w:p>
                        <w:pPr>
                          <w:pStyle w:val="Compact"/>
                          <w:jc w:val="right"/>
                          <w:jc w:val="center"/>
                          <w:jc w:val="center"/>
                        </w:pPr>
                        <w:r>
                          <w:t xml:space="preserve">0.57</w:t>
                        </w:r>
                      </w:p>
                    </w:tc>
                  </w:tr>
                  <w:tr>
                    <w:tc>
                      <w:tcPr/>
                      <w:p>
                        <w:pPr>
                          <w:pStyle w:val="Compact"/>
                          <w:jc w:val="left"/>
                          <w:jc w:val="center"/>
                          <w:jc w:val="center"/>
                        </w:pPr>
                        <w:r>
                          <w:t xml:space="preserve">condit*Band</w:t>
                        </w:r>
                      </w:p>
                    </w:tc>
                    <w:tc>
                      <w:tcPr/>
                      <w:p>
                        <w:pPr>
                          <w:pStyle w:val="Compact"/>
                          <w:jc w:val="right"/>
                          <w:jc w:val="center"/>
                          <w:jc w:val="center"/>
                        </w:pPr>
                        <w:r>
                          <w:t xml:space="preserve">-0.16</w:t>
                        </w:r>
                      </w:p>
                    </w:tc>
                    <w:tc>
                      <w:tcPr/>
                      <w:p>
                        <w:pPr>
                          <w:pStyle w:val="Compact"/>
                          <w:jc w:val="right"/>
                          <w:jc w:val="center"/>
                          <w:jc w:val="center"/>
                        </w:pPr>
                        <w:r>
                          <w:t xml:space="preserve">-0.26</w:t>
                        </w:r>
                      </w:p>
                    </w:tc>
                    <w:tc>
                      <w:tcPr/>
                      <w:p>
                        <w:pPr>
                          <w:pStyle w:val="Compact"/>
                          <w:jc w:val="right"/>
                          <w:jc w:val="center"/>
                          <w:jc w:val="center"/>
                        </w:pPr>
                        <w:r>
                          <w:t xml:space="preserve">-0.06</w:t>
                        </w:r>
                      </w:p>
                    </w:tc>
                    <w:tc>
                      <w:tcPr/>
                      <w:p>
                        <w:pPr>
                          <w:pStyle w:val="Compact"/>
                          <w:jc w:val="right"/>
                          <w:jc w:val="center"/>
                          <w:jc w:val="center"/>
                        </w:pPr>
                        <w:r>
                          <w:t xml:space="preserve">1.00</w:t>
                        </w:r>
                      </w:p>
                    </w:tc>
                  </w:tr>
                </w:tbl>
                <w:bookmarkEnd w:id="101"/>
                <w:bookmarkEnd w:id="102"/>
                <w:p/>
              </w:tc>
            </w:tr>
          </w:tbl>
          <w:tbl>
            <w:tblPr>
              <w:tblStyle w:val="Table"/>
              <w:tblW w:type="pct" w:w="5000"/>
              <w:tblLook w:firstRow="0" w:lastRow="0" w:firstColumn="0" w:lastColumn="0" w:noHBand="0" w:noVBand="0" w:val="0000"/>
              <w:jc w:val="start"/>
              <w:tblLayout w:type="fixed"/>
            </w:tblPr>
            <w:tblGrid>
              <w:gridCol w:w="7920"/>
            </w:tblGrid>
            <w:tr>
              <w:tc>
                <w:tcPr/>
                <w:bookmarkStart w:id="104" w:name="tbl-e1-bmm-dist-2"/>
                <w:p>
                  <w:pPr>
                    <w:jc w:val="center"/>
                    <w:jc w:val="center"/>
                  </w:pPr>
                  <w:pPr>
                    <w:jc w:val="start"/>
                    <w:spacing w:before="200"/>
                    <w:pStyle w:val="ImageCaption"/>
                  </w:pPr>
                  <w:r>
                    <w:t xml:space="preserve">(b) Varied Testing - Deviation</w:t>
                  </w:r>
                </w:p>
                <w:bookmarkStart w:id="103" w:name="tbl-e1-bmm-dist-2"/>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jc w:val="center"/>
                          <w:jc w:val="center"/>
                        </w:pPr>
                        <w:r>
                          <w:t xml:space="preserve">contrast</w:t>
                        </w:r>
                      </w:p>
                    </w:tc>
                    <w:tc>
                      <w:tcPr/>
                      <w:p>
                        <w:pPr>
                          <w:pStyle w:val="Compact"/>
                          <w:jc w:val="right"/>
                          <w:jc w:val="center"/>
                          <w:jc w:val="center"/>
                        </w:pPr>
                        <w:r>
                          <w:t xml:space="preserve">Band</w:t>
                        </w:r>
                      </w:p>
                    </w:tc>
                    <w:tc>
                      <w:tcPr/>
                      <w:p>
                        <w:pPr>
                          <w:pStyle w:val="Compact"/>
                          <w:jc w:val="right"/>
                          <w:jc w:val="center"/>
                          <w:jc w:val="center"/>
                        </w:pPr>
                        <w:r>
                          <w:t xml:space="preserve">value</w:t>
                        </w:r>
                      </w:p>
                    </w:tc>
                    <w:tc>
                      <w:tcPr/>
                      <w:p>
                        <w:pPr>
                          <w:pStyle w:val="Compact"/>
                          <w:jc w:val="right"/>
                          <w:jc w:val="center"/>
                          <w:jc w:val="center"/>
                        </w:pPr>
                        <w:r>
                          <w:t xml:space="preserve">lower</w:t>
                        </w:r>
                      </w:p>
                    </w:tc>
                    <w:tc>
                      <w:tcPr/>
                      <w:p>
                        <w:pPr>
                          <w:pStyle w:val="Compact"/>
                          <w:jc w:val="right"/>
                          <w:jc w:val="center"/>
                          <w:jc w:val="center"/>
                        </w:pPr>
                        <w:r>
                          <w:t xml:space="preserve">upper</w:t>
                        </w:r>
                      </w:p>
                    </w:tc>
                    <w:tc>
                      <w:tcPr/>
                      <w:p>
                        <w:pPr>
                          <w:pStyle w:val="Compact"/>
                          <w:jc w:val="right"/>
                          <w:jc w:val="center"/>
                          <w:jc w:val="center"/>
                        </w:pPr>
                        <w:r>
                          <w:t xml:space="preserve">pd</w:t>
                        </w:r>
                      </w:p>
                    </w:tc>
                  </w:tr>
                  <w:tr>
                    <w:tc>
                      <w:tcPr/>
                      <w:p>
                        <w:pPr>
                          <w:pStyle w:val="Compact"/>
                          <w:jc w:val="left"/>
                          <w:jc w:val="center"/>
                          <w:jc w:val="center"/>
                        </w:pPr>
                        <w:r>
                          <w:t xml:space="preserve">Constant - Varied</w:t>
                        </w:r>
                      </w:p>
                    </w:tc>
                    <w:tc>
                      <w:tcPr/>
                      <w:p>
                        <w:pPr>
                          <w:pStyle w:val="Compact"/>
                          <w:jc w:val="right"/>
                          <w:jc w:val="center"/>
                          <w:jc w:val="center"/>
                        </w:pPr>
                        <w:r>
                          <w:t xml:space="preserve">100</w:t>
                        </w:r>
                      </w:p>
                    </w:tc>
                    <w:tc>
                      <w:tcPr/>
                      <w:p>
                        <w:pPr>
                          <w:pStyle w:val="Compact"/>
                          <w:jc w:val="right"/>
                          <w:jc w:val="center"/>
                          <w:jc w:val="center"/>
                        </w:pPr>
                        <w:r>
                          <w:t xml:space="preserve">-141.49</w:t>
                        </w:r>
                      </w:p>
                    </w:tc>
                    <w:tc>
                      <w:tcPr/>
                      <w:p>
                        <w:pPr>
                          <w:pStyle w:val="Compact"/>
                          <w:jc w:val="right"/>
                          <w:jc w:val="center"/>
                          <w:jc w:val="center"/>
                        </w:pPr>
                        <w:r>
                          <w:t xml:space="preserve">-229.2</w:t>
                        </w:r>
                      </w:p>
                    </w:tc>
                    <w:tc>
                      <w:tcPr/>
                      <w:p>
                        <w:pPr>
                          <w:pStyle w:val="Compact"/>
                          <w:jc w:val="right"/>
                          <w:jc w:val="center"/>
                          <w:jc w:val="center"/>
                        </w:pPr>
                        <w:r>
                          <w:t xml:space="preserve">-53.83</w:t>
                        </w:r>
                      </w:p>
                    </w:tc>
                    <w:tc>
                      <w:tcPr/>
                      <w:p>
                        <w:pPr>
                          <w:pStyle w:val="Compact"/>
                          <w:jc w:val="right"/>
                          <w:jc w:val="center"/>
                          <w:jc w:val="center"/>
                        </w:pPr>
                        <w:r>
                          <w:t xml:space="preserve">1.00</w:t>
                        </w:r>
                      </w:p>
                    </w:tc>
                  </w:tr>
                  <w:tr>
                    <w:tc>
                      <w:tcPr/>
                      <w:p>
                        <w:pPr>
                          <w:pStyle w:val="Compact"/>
                          <w:jc w:val="left"/>
                          <w:jc w:val="center"/>
                          <w:jc w:val="center"/>
                        </w:pPr>
                        <w:r>
                          <w:t xml:space="preserve">Constant - Varied</w:t>
                        </w:r>
                      </w:p>
                    </w:tc>
                    <w:tc>
                      <w:tcPr/>
                      <w:p>
                        <w:pPr>
                          <w:pStyle w:val="Compact"/>
                          <w:jc w:val="right"/>
                          <w:jc w:val="center"/>
                          <w:jc w:val="center"/>
                        </w:pPr>
                        <w:r>
                          <w:t xml:space="preserve">350</w:t>
                        </w:r>
                      </w:p>
                    </w:tc>
                    <w:tc>
                      <w:tcPr/>
                      <w:p>
                        <w:pPr>
                          <w:pStyle w:val="Compact"/>
                          <w:jc w:val="right"/>
                          <w:jc w:val="center"/>
                          <w:jc w:val="center"/>
                        </w:pPr>
                        <w:r>
                          <w:t xml:space="preserve">-101.79</w:t>
                        </w:r>
                      </w:p>
                    </w:tc>
                    <w:tc>
                      <w:tcPr/>
                      <w:p>
                        <w:pPr>
                          <w:pStyle w:val="Compact"/>
                          <w:jc w:val="right"/>
                          <w:jc w:val="center"/>
                          <w:jc w:val="center"/>
                        </w:pPr>
                        <w:r>
                          <w:t xml:space="preserve">-165.6</w:t>
                        </w:r>
                      </w:p>
                    </w:tc>
                    <w:tc>
                      <w:tcPr/>
                      <w:p>
                        <w:pPr>
                          <w:pStyle w:val="Compact"/>
                          <w:jc w:val="right"/>
                          <w:jc w:val="center"/>
                          <w:jc w:val="center"/>
                        </w:pPr>
                        <w:r>
                          <w:t xml:space="preserve">-36.32</w:t>
                        </w:r>
                      </w:p>
                    </w:tc>
                    <w:tc>
                      <w:tcPr/>
                      <w:p>
                        <w:pPr>
                          <w:pStyle w:val="Compact"/>
                          <w:jc w:val="right"/>
                          <w:jc w:val="center"/>
                          <w:jc w:val="center"/>
                        </w:pPr>
                        <w:r>
                          <w:t xml:space="preserve">1.00</w:t>
                        </w:r>
                      </w:p>
                    </w:tc>
                  </w:tr>
                  <w:tr>
                    <w:tc>
                      <w:tcPr/>
                      <w:p>
                        <w:pPr>
                          <w:pStyle w:val="Compact"/>
                          <w:jc w:val="left"/>
                          <w:jc w:val="center"/>
                          <w:jc w:val="center"/>
                        </w:pPr>
                        <w:r>
                          <w:t xml:space="preserve">Constant - Varied</w:t>
                        </w:r>
                      </w:p>
                    </w:tc>
                    <w:tc>
                      <w:tcPr/>
                      <w:p>
                        <w:pPr>
                          <w:pStyle w:val="Compact"/>
                          <w:jc w:val="right"/>
                          <w:jc w:val="center"/>
                          <w:jc w:val="center"/>
                        </w:pPr>
                        <w:r>
                          <w:t xml:space="preserve">600</w:t>
                        </w:r>
                      </w:p>
                    </w:tc>
                    <w:tc>
                      <w:tcPr/>
                      <w:p>
                        <w:pPr>
                          <w:pStyle w:val="Compact"/>
                          <w:jc w:val="right"/>
                          <w:jc w:val="center"/>
                          <w:jc w:val="center"/>
                        </w:pPr>
                        <w:r>
                          <w:t xml:space="preserve">-62.02</w:t>
                        </w:r>
                      </w:p>
                    </w:tc>
                    <w:tc>
                      <w:tcPr/>
                      <w:p>
                        <w:pPr>
                          <w:pStyle w:val="Compact"/>
                          <w:jc w:val="right"/>
                          <w:jc w:val="center"/>
                          <w:jc w:val="center"/>
                        </w:pPr>
                        <w:r>
                          <w:t xml:space="preserve">-106.2</w:t>
                        </w:r>
                      </w:p>
                    </w:tc>
                    <w:tc>
                      <w:tcPr/>
                      <w:p>
                        <w:pPr>
                          <w:pStyle w:val="Compact"/>
                          <w:jc w:val="right"/>
                          <w:jc w:val="center"/>
                          <w:jc w:val="center"/>
                        </w:pPr>
                        <w:r>
                          <w:t xml:space="preserve">-14.77</w:t>
                        </w:r>
                      </w:p>
                    </w:tc>
                    <w:tc>
                      <w:tcPr/>
                      <w:p>
                        <w:pPr>
                          <w:pStyle w:val="Compact"/>
                          <w:jc w:val="right"/>
                          <w:jc w:val="center"/>
                          <w:jc w:val="center"/>
                        </w:pPr>
                        <w:r>
                          <w:t xml:space="preserve">1.00</w:t>
                        </w:r>
                      </w:p>
                    </w:tc>
                  </w:tr>
                  <w:tr>
                    <w:tc>
                      <w:tcPr/>
                      <w:p>
                        <w:pPr>
                          <w:pStyle w:val="Compact"/>
                          <w:jc w:val="left"/>
                          <w:jc w:val="center"/>
                          <w:jc w:val="center"/>
                        </w:pPr>
                        <w:r>
                          <w:t xml:space="preserve">Constant - Varied</w:t>
                        </w:r>
                      </w:p>
                    </w:tc>
                    <w:tc>
                      <w:tcPr/>
                      <w:p>
                        <w:pPr>
                          <w:pStyle w:val="Compact"/>
                          <w:jc w:val="right"/>
                          <w:jc w:val="center"/>
                          <w:jc w:val="center"/>
                        </w:pPr>
                        <w:r>
                          <w:t xml:space="preserve">800</w:t>
                        </w:r>
                      </w:p>
                    </w:tc>
                    <w:tc>
                      <w:tcPr/>
                      <w:p>
                        <w:pPr>
                          <w:pStyle w:val="Compact"/>
                          <w:jc w:val="right"/>
                          <w:jc w:val="center"/>
                          <w:jc w:val="center"/>
                        </w:pPr>
                        <w:r>
                          <w:t xml:space="preserve">-30.11</w:t>
                        </w:r>
                      </w:p>
                    </w:tc>
                    <w:tc>
                      <w:tcPr/>
                      <w:p>
                        <w:pPr>
                          <w:pStyle w:val="Compact"/>
                          <w:jc w:val="right"/>
                          <w:jc w:val="center"/>
                          <w:jc w:val="center"/>
                        </w:pPr>
                        <w:r>
                          <w:t xml:space="preserve">-65.1</w:t>
                        </w:r>
                      </w:p>
                    </w:tc>
                    <w:tc>
                      <w:tcPr/>
                      <w:p>
                        <w:pPr>
                          <w:pStyle w:val="Compact"/>
                          <w:jc w:val="right"/>
                          <w:jc w:val="center"/>
                          <w:jc w:val="center"/>
                        </w:pPr>
                        <w:r>
                          <w:t xml:space="preserve">6.98</w:t>
                        </w:r>
                      </w:p>
                    </w:tc>
                    <w:tc>
                      <w:tcPr/>
                      <w:p>
                        <w:pPr>
                          <w:pStyle w:val="Compact"/>
                          <w:jc w:val="right"/>
                          <w:jc w:val="center"/>
                          <w:jc w:val="center"/>
                        </w:pPr>
                        <w:r>
                          <w:t xml:space="preserve">0.94</w:t>
                        </w:r>
                      </w:p>
                    </w:tc>
                  </w:tr>
                  <w:tr>
                    <w:tc>
                      <w:tcPr/>
                      <w:p>
                        <w:pPr>
                          <w:pStyle w:val="Compact"/>
                          <w:jc w:val="left"/>
                          <w:jc w:val="center"/>
                          <w:jc w:val="center"/>
                        </w:pPr>
                        <w:r>
                          <w:t xml:space="preserve">Constant - Varied</w:t>
                        </w:r>
                      </w:p>
                    </w:tc>
                    <w:tc>
                      <w:tcPr/>
                      <w:p>
                        <w:pPr>
                          <w:pStyle w:val="Compact"/>
                          <w:jc w:val="right"/>
                          <w:jc w:val="center"/>
                          <w:jc w:val="center"/>
                        </w:pPr>
                        <w:r>
                          <w:t xml:space="preserve">1000</w:t>
                        </w:r>
                      </w:p>
                    </w:tc>
                    <w:tc>
                      <w:tcPr/>
                      <w:p>
                        <w:pPr>
                          <w:pStyle w:val="Compact"/>
                          <w:jc w:val="right"/>
                          <w:jc w:val="center"/>
                          <w:jc w:val="center"/>
                        </w:pPr>
                        <w:r>
                          <w:t xml:space="preserve">2.05</w:t>
                        </w:r>
                      </w:p>
                    </w:tc>
                    <w:tc>
                      <w:tcPr/>
                      <w:p>
                        <w:pPr>
                          <w:pStyle w:val="Compact"/>
                          <w:jc w:val="right"/>
                          <w:jc w:val="center"/>
                          <w:jc w:val="center"/>
                        </w:pPr>
                        <w:r>
                          <w:t xml:space="preserve">-33.5</w:t>
                        </w:r>
                      </w:p>
                    </w:tc>
                    <w:tc>
                      <w:tcPr/>
                      <w:p>
                        <w:pPr>
                          <w:pStyle w:val="Compact"/>
                          <w:jc w:val="right"/>
                          <w:jc w:val="center"/>
                          <w:jc w:val="center"/>
                        </w:pPr>
                        <w:r>
                          <w:t xml:space="preserve">38.41</w:t>
                        </w:r>
                      </w:p>
                    </w:tc>
                    <w:tc>
                      <w:tcPr/>
                      <w:p>
                        <w:pPr>
                          <w:pStyle w:val="Compact"/>
                          <w:jc w:val="right"/>
                          <w:jc w:val="center"/>
                          <w:jc w:val="center"/>
                        </w:pPr>
                        <w:r>
                          <w:t xml:space="preserve">0.54</w:t>
                        </w:r>
                      </w:p>
                    </w:tc>
                  </w:tr>
                  <w:tr>
                    <w:tc>
                      <w:tcPr/>
                      <w:p>
                        <w:pPr>
                          <w:pStyle w:val="Compact"/>
                          <w:jc w:val="left"/>
                          <w:jc w:val="center"/>
                          <w:jc w:val="center"/>
                        </w:pPr>
                        <w:r>
                          <w:t xml:space="preserve">Constant - Varied</w:t>
                        </w:r>
                      </w:p>
                    </w:tc>
                    <w:tc>
                      <w:tcPr/>
                      <w:p>
                        <w:pPr>
                          <w:pStyle w:val="Compact"/>
                          <w:jc w:val="right"/>
                          <w:jc w:val="center"/>
                          <w:jc w:val="center"/>
                        </w:pPr>
                        <w:r>
                          <w:t xml:space="preserve">1200</w:t>
                        </w:r>
                      </w:p>
                    </w:tc>
                    <w:tc>
                      <w:tcPr/>
                      <w:p>
                        <w:pPr>
                          <w:pStyle w:val="Compact"/>
                          <w:jc w:val="right"/>
                          <w:jc w:val="center"/>
                          <w:jc w:val="center"/>
                        </w:pPr>
                        <w:r>
                          <w:t xml:space="preserve">33.96</w:t>
                        </w:r>
                      </w:p>
                    </w:tc>
                    <w:tc>
                      <w:tcPr/>
                      <w:p>
                        <w:pPr>
                          <w:pStyle w:val="Compact"/>
                          <w:jc w:val="right"/>
                          <w:jc w:val="center"/>
                          <w:jc w:val="center"/>
                        </w:pPr>
                        <w:r>
                          <w:t xml:space="preserve">-11.9</w:t>
                        </w:r>
                      </w:p>
                    </w:tc>
                    <w:tc>
                      <w:tcPr/>
                      <w:p>
                        <w:pPr>
                          <w:pStyle w:val="Compact"/>
                          <w:jc w:val="right"/>
                          <w:jc w:val="center"/>
                          <w:jc w:val="center"/>
                        </w:pPr>
                        <w:r>
                          <w:t xml:space="preserve">81.01</w:t>
                        </w:r>
                      </w:p>
                    </w:tc>
                    <w:tc>
                      <w:tcPr/>
                      <w:p>
                        <w:pPr>
                          <w:pStyle w:val="Compact"/>
                          <w:jc w:val="right"/>
                          <w:jc w:val="center"/>
                          <w:jc w:val="center"/>
                        </w:pPr>
                        <w:r>
                          <w:t xml:space="preserve">0.92</w:t>
                        </w:r>
                      </w:p>
                    </w:tc>
                  </w:tr>
                </w:tbl>
                <w:bookmarkEnd w:id="103"/>
                <w:bookmarkEnd w:id="104"/>
                <w:p/>
              </w:tc>
            </w:tr>
          </w:tbl>
          <w:bookmarkEnd w:id="105"/>
          <w:p/>
        </w:tc>
      </w:tr>
    </w:tbl>
    <w:p>
      <w:pPr>
        <w:pStyle w:val="BodyText"/>
      </w:pPr>
      <w:r>
        <w:t xml:space="preserve">The model predicting absolute deviation (dist) showed clear effects of both training condition and target velocity band (Table X). Overall, the varied training group showed a larger deviation relative to the constant training group (β = 157.44, 95% CI [60.53, 254.9]). Deviation also depended on target velocity band, with lower bands showing less deviation. See</w:t>
      </w:r>
      <w:r>
        <w:t xml:space="preserve"> </w:t>
      </w:r>
      <w:hyperlink w:anchor="tbl-e1-bmm-dist">
        <w:r>
          <w:rPr>
            <w:rStyle w:val="Hyperlink"/>
          </w:rPr>
          <w:t xml:space="preserve">Table 5</w:t>
        </w:r>
      </w:hyperlink>
      <w:r>
        <w:t xml:space="preserve"> </w:t>
      </w:r>
      <w:r>
        <w:t xml:space="preserve">for full model output.</w:t>
      </w:r>
    </w:p>
    <w:bookmarkEnd w:id="106"/>
    <w:bookmarkStart w:id="128" w:name="discrimination-between-bands"/>
    <w:p>
      <w:pPr>
        <w:pStyle w:val="Heading4"/>
      </w:pPr>
      <w:r>
        <w:t xml:space="preserve">Discrimination between bands</w:t>
      </w:r>
    </w:p>
    <w:p>
      <w:pPr>
        <w:pStyle w:val="FirstParagraph"/>
      </w:pPr>
      <w:r>
        <w:t xml:space="preserve">In addition to accuracy/deviation, we also assessed the ability of participants to reliably discriminate between the velocity bands (i.e. responding differently when prompted for band 600-800 than when prompted for band 150-350).</w:t>
      </w:r>
      <w:r>
        <w:t xml:space="preserve"> </w:t>
      </w:r>
      <w:hyperlink w:anchor="tbl-e1-test-nf-vx">
        <w:r>
          <w:rPr>
            <w:rStyle w:val="Hyperlink"/>
          </w:rPr>
          <w:t xml:space="preserve">Table 6</w:t>
        </w:r>
      </w:hyperlink>
      <w:r>
        <w:t xml:space="preserve"> </w:t>
      </w:r>
      <w:r>
        <w:t xml:space="preserve">shows descriptive statistics of this measure, and Figure 1 visualizes the full distributions of throws for each combination of condition and velocity band. To quantify discrimination, we again fit Bayesian Mixed Models as above, but this time the dependent variable was the raw x velocity generated by participants on each testing trial.</w:t>
      </w:r>
    </w:p>
    <w:tbl>
      <w:tblPr>
        <w:tblStyle w:val="Table"/>
        <w:tblW w:type="pct" w:w="5000"/>
        <w:tblLook w:firstRow="0" w:lastRow="0" w:firstColumn="0" w:lastColumn="0" w:noHBand="0" w:noVBand="0" w:val="0000"/>
        <w:jc w:val="start"/>
        <w:tblLayout w:type="fixed"/>
      </w:tblPr>
      <w:tblGrid>
        <w:gridCol w:w="7920"/>
      </w:tblGrid>
      <w:tr>
        <w:tc>
          <w:tcPr/>
          <w:bookmarkStart w:id="107" w:name="fig-e1-test-vx"/>
          <w:p>
            <w:pPr>
              <w:pStyle w:val="Compact"/>
              <w:jc w:val="center"/>
            </w:pPr>
          </w:p>
          <w:p>
            <w:pPr>
              <w:jc w:val="center"/>
            </w:pPr>
            <w:pPr>
              <w:jc w:val="start"/>
              <w:spacing w:before="200"/>
              <w:pStyle w:val="ImageCaption"/>
            </w:pPr>
            <w:r>
              <w:t xml:space="preserve">Figure 13: E1 testing x velocities. Translucent bands with dash lines indicate the correct range for each velocity band.</w:t>
            </w:r>
          </w:p>
          <w:bookmarkEnd w:id="107"/>
        </w:tc>
      </w:tr>
    </w:tbl>
    <w:tbl>
      <w:tblPr>
        <w:tblStyle w:val="Table"/>
        <w:tblW w:type="pct" w:w="5000"/>
        <w:tblLook w:firstRow="0" w:lastRow="0" w:firstColumn="0" w:lastColumn="0" w:noHBand="0" w:noVBand="0" w:val="0000"/>
        <w:jc w:val="start"/>
        <w:tblLayout w:type="fixed"/>
      </w:tblPr>
      <w:tblGrid>
        <w:gridCol w:w="7920"/>
      </w:tblGrid>
      <w:tr>
        <w:tc>
          <w:tcPr/>
          <w:bookmarkStart w:id="112" w:name="tbl-e1-test-nf-vx"/>
          <w:p>
            <w:pPr>
              <w:jc w:val="center"/>
            </w:pPr>
            <w:pPr>
              <w:jc w:val="start"/>
              <w:spacing w:before="200"/>
              <w:pStyle w:val="ImageCaption"/>
            </w:pPr>
            <w:r>
              <w:t xml:space="preserve">Table 6: Testing vx - Empirical Summary</w:t>
            </w:r>
          </w:p>
          <w:tbl>
            <w:tblPr>
              <w:tblStyle w:val="Table"/>
              <w:tblW w:type="pct" w:w="5000"/>
              <w:tblLook w:firstRow="0" w:lastRow="0" w:firstColumn="0" w:lastColumn="0" w:noHBand="0" w:noVBand="0" w:val="0000"/>
              <w:jc w:val="start"/>
              <w:tblLayout w:type="fixed"/>
            </w:tblPr>
            <w:tblGrid>
              <w:gridCol w:w="7920"/>
            </w:tblGrid>
            <w:tr>
              <w:tc>
                <w:tcPr/>
                <w:bookmarkStart w:id="109" w:name="tbl-e1-test-nf-vx-1"/>
                <w:p>
                  <w:pPr>
                    <w:jc w:val="center"/>
                    <w:jc w:val="center"/>
                  </w:pPr>
                  <w:pPr>
                    <w:jc w:val="start"/>
                    <w:spacing w:before="200"/>
                    <w:pStyle w:val="ImageCaption"/>
                  </w:pPr>
                  <w:r>
                    <w:t xml:space="preserve">(a) Constant</w:t>
                  </w:r>
                </w:p>
                <w:bookmarkStart w:id="108" w:name="tbl-e1-test-nf-vx-1"/>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Band</w:t>
                        </w:r>
                      </w:p>
                    </w:tc>
                    <w:tc>
                      <w:tcPr/>
                      <w:p>
                        <w:pPr>
                          <w:pStyle w:val="Compact"/>
                          <w:jc w:val="left"/>
                          <w:jc w:val="center"/>
                          <w:jc w:val="center"/>
                        </w:pPr>
                        <w:r>
                          <w:t xml:space="preserve">Band Type</w:t>
                        </w:r>
                      </w:p>
                    </w:tc>
                    <w:tc>
                      <w:tcPr/>
                      <w:p>
                        <w:pPr>
                          <w:pStyle w:val="Compact"/>
                          <w:jc w:val="right"/>
                          <w:jc w:val="center"/>
                          <w:jc w:val="center"/>
                        </w:pPr>
                        <w:r>
                          <w:t xml:space="preserve">Mean</w:t>
                        </w:r>
                      </w:p>
                    </w:tc>
                    <w:tc>
                      <w:tcPr/>
                      <w:p>
                        <w:pPr>
                          <w:pStyle w:val="Compact"/>
                          <w:jc w:val="right"/>
                          <w:jc w:val="center"/>
                          <w:jc w:val="center"/>
                        </w:pPr>
                        <w:r>
                          <w:t xml:space="preserve">Median</w:t>
                        </w:r>
                      </w:p>
                    </w:tc>
                    <w:tc>
                      <w:tcPr/>
                      <w:p>
                        <w:pPr>
                          <w:pStyle w:val="Compact"/>
                          <w:jc w:val="right"/>
                          <w:jc w:val="center"/>
                          <w:jc w:val="center"/>
                        </w:pPr>
                        <w:r>
                          <w:t xml:space="preserve">Sd</w:t>
                        </w:r>
                      </w:p>
                    </w:tc>
                  </w:tr>
                  <w:tr>
                    <w:tc>
                      <w:tcPr/>
                      <w:p>
                        <w:pPr>
                          <w:pStyle w:val="Compact"/>
                          <w:jc w:val="left"/>
                          <w:jc w:val="center"/>
                          <w:jc w:val="center"/>
                        </w:pPr>
                        <w:r>
                          <w:t xml:space="preserve">100-300</w:t>
                        </w:r>
                      </w:p>
                    </w:tc>
                    <w:tc>
                      <w:tcPr/>
                      <w:p>
                        <w:pPr>
                          <w:pStyle w:val="Compact"/>
                          <w:jc w:val="left"/>
                          <w:jc w:val="center"/>
                          <w:jc w:val="center"/>
                        </w:pPr>
                        <w:r>
                          <w:t xml:space="preserve">Extrapolation</w:t>
                        </w:r>
                      </w:p>
                    </w:tc>
                    <w:tc>
                      <w:tcPr/>
                      <w:p>
                        <w:pPr>
                          <w:pStyle w:val="Compact"/>
                          <w:jc w:val="right"/>
                          <w:jc w:val="center"/>
                          <w:jc w:val="center"/>
                        </w:pPr>
                        <w:r>
                          <w:t xml:space="preserve">524</w:t>
                        </w:r>
                      </w:p>
                    </w:tc>
                    <w:tc>
                      <w:tcPr/>
                      <w:p>
                        <w:pPr>
                          <w:pStyle w:val="Compact"/>
                          <w:jc w:val="right"/>
                          <w:jc w:val="center"/>
                          <w:jc w:val="center"/>
                        </w:pPr>
                        <w:r>
                          <w:t xml:space="preserve">448</w:t>
                        </w:r>
                      </w:p>
                    </w:tc>
                    <w:tc>
                      <w:tcPr/>
                      <w:p>
                        <w:pPr>
                          <w:pStyle w:val="Compact"/>
                          <w:jc w:val="right"/>
                          <w:jc w:val="center"/>
                          <w:jc w:val="center"/>
                        </w:pPr>
                        <w:r>
                          <w:t xml:space="preserve">327</w:t>
                        </w:r>
                      </w:p>
                    </w:tc>
                  </w:tr>
                  <w:tr>
                    <w:tc>
                      <w:tcPr/>
                      <w:p>
                        <w:pPr>
                          <w:pStyle w:val="Compact"/>
                          <w:jc w:val="left"/>
                          <w:jc w:val="center"/>
                          <w:jc w:val="center"/>
                        </w:pPr>
                        <w:r>
                          <w:t xml:space="preserve">350-550</w:t>
                        </w:r>
                      </w:p>
                    </w:tc>
                    <w:tc>
                      <w:tcPr/>
                      <w:p>
                        <w:pPr>
                          <w:pStyle w:val="Compact"/>
                          <w:jc w:val="left"/>
                          <w:jc w:val="center"/>
                          <w:jc w:val="center"/>
                        </w:pPr>
                        <w:r>
                          <w:t xml:space="preserve">Extrapolation</w:t>
                        </w:r>
                      </w:p>
                    </w:tc>
                    <w:tc>
                      <w:tcPr/>
                      <w:p>
                        <w:pPr>
                          <w:pStyle w:val="Compact"/>
                          <w:jc w:val="right"/>
                          <w:jc w:val="center"/>
                          <w:jc w:val="center"/>
                        </w:pPr>
                        <w:r>
                          <w:t xml:space="preserve">659</w:t>
                        </w:r>
                      </w:p>
                    </w:tc>
                    <w:tc>
                      <w:tcPr/>
                      <w:p>
                        <w:pPr>
                          <w:pStyle w:val="Compact"/>
                          <w:jc w:val="right"/>
                          <w:jc w:val="center"/>
                          <w:jc w:val="center"/>
                        </w:pPr>
                        <w:r>
                          <w:t xml:space="preserve">624</w:t>
                        </w:r>
                      </w:p>
                    </w:tc>
                    <w:tc>
                      <w:tcPr/>
                      <w:p>
                        <w:pPr>
                          <w:pStyle w:val="Compact"/>
                          <w:jc w:val="right"/>
                          <w:jc w:val="center"/>
                          <w:jc w:val="center"/>
                        </w:pPr>
                        <w:r>
                          <w:t xml:space="preserve">303</w:t>
                        </w:r>
                      </w:p>
                    </w:tc>
                  </w:tr>
                  <w:tr>
                    <w:tc>
                      <w:tcPr/>
                      <w:p>
                        <w:pPr>
                          <w:pStyle w:val="Compact"/>
                          <w:jc w:val="left"/>
                          <w:jc w:val="center"/>
                          <w:jc w:val="center"/>
                        </w:pPr>
                        <w:r>
                          <w:t xml:space="preserve">600-800</w:t>
                        </w:r>
                      </w:p>
                    </w:tc>
                    <w:tc>
                      <w:tcPr/>
                      <w:p>
                        <w:pPr>
                          <w:pStyle w:val="Compact"/>
                          <w:jc w:val="left"/>
                          <w:jc w:val="center"/>
                          <w:jc w:val="center"/>
                        </w:pPr>
                        <w:r>
                          <w:t xml:space="preserve">Extrapolation</w:t>
                        </w:r>
                      </w:p>
                    </w:tc>
                    <w:tc>
                      <w:tcPr/>
                      <w:p>
                        <w:pPr>
                          <w:pStyle w:val="Compact"/>
                          <w:jc w:val="right"/>
                          <w:jc w:val="center"/>
                          <w:jc w:val="center"/>
                        </w:pPr>
                        <w:r>
                          <w:t xml:space="preserve">770</w:t>
                        </w:r>
                      </w:p>
                    </w:tc>
                    <w:tc>
                      <w:tcPr/>
                      <w:p>
                        <w:pPr>
                          <w:pStyle w:val="Compact"/>
                          <w:jc w:val="right"/>
                          <w:jc w:val="center"/>
                          <w:jc w:val="center"/>
                        </w:pPr>
                        <w:r>
                          <w:t xml:space="preserve">724</w:t>
                        </w:r>
                      </w:p>
                    </w:tc>
                    <w:tc>
                      <w:tcPr/>
                      <w:p>
                        <w:pPr>
                          <w:pStyle w:val="Compact"/>
                          <w:jc w:val="right"/>
                          <w:jc w:val="center"/>
                          <w:jc w:val="center"/>
                        </w:pPr>
                        <w:r>
                          <w:t xml:space="preserve">300</w:t>
                        </w:r>
                      </w:p>
                    </w:tc>
                  </w:tr>
                  <w:tr>
                    <w:tc>
                      <w:tcPr/>
                      <w:p>
                        <w:pPr>
                          <w:pStyle w:val="Compact"/>
                          <w:jc w:val="left"/>
                          <w:jc w:val="center"/>
                          <w:jc w:val="center"/>
                        </w:pPr>
                        <w:r>
                          <w:t xml:space="preserve">800-1000</w:t>
                        </w:r>
                      </w:p>
                    </w:tc>
                    <w:tc>
                      <w:tcPr/>
                      <w:p>
                        <w:pPr>
                          <w:pStyle w:val="Compact"/>
                          <w:jc w:val="left"/>
                          <w:jc w:val="center"/>
                          <w:jc w:val="center"/>
                        </w:pPr>
                        <w:r>
                          <w:t xml:space="preserve">Trained</w:t>
                        </w:r>
                      </w:p>
                    </w:tc>
                    <w:tc>
                      <w:tcPr/>
                      <w:p>
                        <w:pPr>
                          <w:pStyle w:val="Compact"/>
                          <w:jc w:val="right"/>
                          <w:jc w:val="center"/>
                          <w:jc w:val="center"/>
                        </w:pPr>
                        <w:r>
                          <w:t xml:space="preserve">1001</w:t>
                        </w:r>
                      </w:p>
                    </w:tc>
                    <w:tc>
                      <w:tcPr/>
                      <w:p>
                        <w:pPr>
                          <w:pStyle w:val="Compact"/>
                          <w:jc w:val="right"/>
                          <w:jc w:val="center"/>
                          <w:jc w:val="center"/>
                        </w:pPr>
                        <w:r>
                          <w:t xml:space="preserve">940</w:t>
                        </w:r>
                      </w:p>
                    </w:tc>
                    <w:tc>
                      <w:tcPr/>
                      <w:p>
                        <w:pPr>
                          <w:pStyle w:val="Compact"/>
                          <w:jc w:val="right"/>
                          <w:jc w:val="center"/>
                          <w:jc w:val="center"/>
                        </w:pPr>
                        <w:r>
                          <w:t xml:space="preserve">357</w:t>
                        </w:r>
                      </w:p>
                    </w:tc>
                  </w:tr>
                  <w:tr>
                    <w:tc>
                      <w:tcPr/>
                      <w:p>
                        <w:pPr>
                          <w:pStyle w:val="Compact"/>
                          <w:jc w:val="left"/>
                          <w:jc w:val="center"/>
                          <w:jc w:val="center"/>
                        </w:pPr>
                        <w:r>
                          <w:t xml:space="preserve">1000-1200</w:t>
                        </w:r>
                      </w:p>
                    </w:tc>
                    <w:tc>
                      <w:tcPr/>
                      <w:p>
                        <w:pPr>
                          <w:pStyle w:val="Compact"/>
                          <w:jc w:val="left"/>
                          <w:jc w:val="center"/>
                          <w:jc w:val="center"/>
                        </w:pPr>
                        <w:r>
                          <w:t xml:space="preserve">Extrapolation</w:t>
                        </w:r>
                      </w:p>
                    </w:tc>
                    <w:tc>
                      <w:tcPr/>
                      <w:p>
                        <w:pPr>
                          <w:pStyle w:val="Compact"/>
                          <w:jc w:val="right"/>
                          <w:jc w:val="center"/>
                          <w:jc w:val="center"/>
                        </w:pPr>
                        <w:r>
                          <w:t xml:space="preserve">1167</w:t>
                        </w:r>
                      </w:p>
                    </w:tc>
                    <w:tc>
                      <w:tcPr/>
                      <w:p>
                        <w:pPr>
                          <w:pStyle w:val="Compact"/>
                          <w:jc w:val="right"/>
                          <w:jc w:val="center"/>
                          <w:jc w:val="center"/>
                        </w:pPr>
                        <w:r>
                          <w:t xml:space="preserve">1104</w:t>
                        </w:r>
                      </w:p>
                    </w:tc>
                    <w:tc>
                      <w:tcPr/>
                      <w:p>
                        <w:pPr>
                          <w:pStyle w:val="Compact"/>
                          <w:jc w:val="right"/>
                          <w:jc w:val="center"/>
                          <w:jc w:val="center"/>
                        </w:pPr>
                        <w:r>
                          <w:t xml:space="preserve">430</w:t>
                        </w:r>
                      </w:p>
                    </w:tc>
                  </w:tr>
                  <w:tr>
                    <w:tc>
                      <w:tcPr/>
                      <w:p>
                        <w:pPr>
                          <w:pStyle w:val="Compact"/>
                          <w:jc w:val="left"/>
                          <w:jc w:val="center"/>
                          <w:jc w:val="center"/>
                        </w:pPr>
                        <w:r>
                          <w:t xml:space="preserve">1200-1400</w:t>
                        </w:r>
                      </w:p>
                    </w:tc>
                    <w:tc>
                      <w:tcPr/>
                      <w:p>
                        <w:pPr>
                          <w:pStyle w:val="Compact"/>
                          <w:jc w:val="left"/>
                          <w:jc w:val="center"/>
                          <w:jc w:val="center"/>
                        </w:pPr>
                        <w:r>
                          <w:t xml:space="preserve">Extrapolation</w:t>
                        </w:r>
                      </w:p>
                    </w:tc>
                    <w:tc>
                      <w:tcPr/>
                      <w:p>
                        <w:pPr>
                          <w:pStyle w:val="Compact"/>
                          <w:jc w:val="right"/>
                          <w:jc w:val="center"/>
                          <w:jc w:val="center"/>
                        </w:pPr>
                        <w:r>
                          <w:t xml:space="preserve">1283</w:t>
                        </w:r>
                      </w:p>
                    </w:tc>
                    <w:tc>
                      <w:tcPr/>
                      <w:p>
                        <w:pPr>
                          <w:pStyle w:val="Compact"/>
                          <w:jc w:val="right"/>
                          <w:jc w:val="center"/>
                          <w:jc w:val="center"/>
                        </w:pPr>
                        <w:r>
                          <w:t xml:space="preserve">1225</w:t>
                        </w:r>
                      </w:p>
                    </w:tc>
                    <w:tc>
                      <w:tcPr/>
                      <w:p>
                        <w:pPr>
                          <w:pStyle w:val="Compact"/>
                          <w:jc w:val="right"/>
                          <w:jc w:val="center"/>
                          <w:jc w:val="center"/>
                        </w:pPr>
                        <w:r>
                          <w:t xml:space="preserve">483</w:t>
                        </w:r>
                      </w:p>
                    </w:tc>
                  </w:tr>
                </w:tbl>
                <w:bookmarkEnd w:id="108"/>
                <w:bookmarkEnd w:id="109"/>
                <w:p/>
              </w:tc>
            </w:tr>
          </w:tbl>
          <w:tbl>
            <w:tblPr>
              <w:tblStyle w:val="Table"/>
              <w:tblW w:type="pct" w:w="5000"/>
              <w:tblLook w:firstRow="0" w:lastRow="0" w:firstColumn="0" w:lastColumn="0" w:noHBand="0" w:noVBand="0" w:val="0000"/>
              <w:jc w:val="start"/>
              <w:tblLayout w:type="fixed"/>
            </w:tblPr>
            <w:tblGrid>
              <w:gridCol w:w="7920"/>
            </w:tblGrid>
            <w:tr>
              <w:tc>
                <w:tcPr/>
                <w:bookmarkStart w:id="111" w:name="tbl-e1-test-nf-vx-2"/>
                <w:p>
                  <w:pPr>
                    <w:jc w:val="center"/>
                    <w:jc w:val="center"/>
                  </w:pPr>
                  <w:pPr>
                    <w:jc w:val="start"/>
                    <w:spacing w:before="200"/>
                    <w:pStyle w:val="ImageCaption"/>
                  </w:pPr>
                  <w:r>
                    <w:t xml:space="preserve">(b) Varied</w:t>
                  </w:r>
                </w:p>
                <w:bookmarkStart w:id="110" w:name="tbl-e1-test-nf-vx-2"/>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Band</w:t>
                        </w:r>
                      </w:p>
                    </w:tc>
                    <w:tc>
                      <w:tcPr/>
                      <w:p>
                        <w:pPr>
                          <w:pStyle w:val="Compact"/>
                          <w:jc w:val="left"/>
                          <w:jc w:val="center"/>
                          <w:jc w:val="center"/>
                        </w:pPr>
                        <w:r>
                          <w:t xml:space="preserve">Band Type</w:t>
                        </w:r>
                      </w:p>
                    </w:tc>
                    <w:tc>
                      <w:tcPr/>
                      <w:p>
                        <w:pPr>
                          <w:pStyle w:val="Compact"/>
                          <w:jc w:val="right"/>
                          <w:jc w:val="center"/>
                          <w:jc w:val="center"/>
                        </w:pPr>
                        <w:r>
                          <w:t xml:space="preserve">Mean</w:t>
                        </w:r>
                      </w:p>
                    </w:tc>
                    <w:tc>
                      <w:tcPr/>
                      <w:p>
                        <w:pPr>
                          <w:pStyle w:val="Compact"/>
                          <w:jc w:val="right"/>
                          <w:jc w:val="center"/>
                          <w:jc w:val="center"/>
                        </w:pPr>
                        <w:r>
                          <w:t xml:space="preserve">Median</w:t>
                        </w:r>
                      </w:p>
                    </w:tc>
                    <w:tc>
                      <w:tcPr/>
                      <w:p>
                        <w:pPr>
                          <w:pStyle w:val="Compact"/>
                          <w:jc w:val="right"/>
                          <w:jc w:val="center"/>
                          <w:jc w:val="center"/>
                        </w:pPr>
                        <w:r>
                          <w:t xml:space="preserve">Sd</w:t>
                        </w:r>
                      </w:p>
                    </w:tc>
                  </w:tr>
                  <w:tr>
                    <w:tc>
                      <w:tcPr/>
                      <w:p>
                        <w:pPr>
                          <w:pStyle w:val="Compact"/>
                          <w:jc w:val="left"/>
                          <w:jc w:val="center"/>
                          <w:jc w:val="center"/>
                        </w:pPr>
                        <w:r>
                          <w:t xml:space="preserve">100-300</w:t>
                        </w:r>
                      </w:p>
                    </w:tc>
                    <w:tc>
                      <w:tcPr/>
                      <w:p>
                        <w:pPr>
                          <w:pStyle w:val="Compact"/>
                          <w:jc w:val="left"/>
                          <w:jc w:val="center"/>
                          <w:jc w:val="center"/>
                        </w:pPr>
                        <w:r>
                          <w:t xml:space="preserve">Extrapolation</w:t>
                        </w:r>
                      </w:p>
                    </w:tc>
                    <w:tc>
                      <w:tcPr/>
                      <w:p>
                        <w:pPr>
                          <w:pStyle w:val="Compact"/>
                          <w:jc w:val="right"/>
                          <w:jc w:val="center"/>
                          <w:jc w:val="center"/>
                        </w:pPr>
                        <w:r>
                          <w:t xml:space="preserve">664</w:t>
                        </w:r>
                      </w:p>
                    </w:tc>
                    <w:tc>
                      <w:tcPr/>
                      <w:p>
                        <w:pPr>
                          <w:pStyle w:val="Compact"/>
                          <w:jc w:val="right"/>
                          <w:jc w:val="center"/>
                          <w:jc w:val="center"/>
                        </w:pPr>
                        <w:r>
                          <w:t xml:space="preserve">533</w:t>
                        </w:r>
                      </w:p>
                    </w:tc>
                    <w:tc>
                      <w:tcPr/>
                      <w:p>
                        <w:pPr>
                          <w:pStyle w:val="Compact"/>
                          <w:jc w:val="right"/>
                          <w:jc w:val="center"/>
                          <w:jc w:val="center"/>
                        </w:pPr>
                        <w:r>
                          <w:t xml:space="preserve">448</w:t>
                        </w:r>
                      </w:p>
                    </w:tc>
                  </w:tr>
                  <w:tr>
                    <w:tc>
                      <w:tcPr/>
                      <w:p>
                        <w:pPr>
                          <w:pStyle w:val="Compact"/>
                          <w:jc w:val="left"/>
                          <w:jc w:val="center"/>
                          <w:jc w:val="center"/>
                        </w:pPr>
                        <w:r>
                          <w:t xml:space="preserve">350-550</w:t>
                        </w:r>
                      </w:p>
                    </w:tc>
                    <w:tc>
                      <w:tcPr/>
                      <w:p>
                        <w:pPr>
                          <w:pStyle w:val="Compact"/>
                          <w:jc w:val="left"/>
                          <w:jc w:val="center"/>
                          <w:jc w:val="center"/>
                        </w:pPr>
                        <w:r>
                          <w:t xml:space="preserve">Extrapolation</w:t>
                        </w:r>
                      </w:p>
                    </w:tc>
                    <w:tc>
                      <w:tcPr/>
                      <w:p>
                        <w:pPr>
                          <w:pStyle w:val="Compact"/>
                          <w:jc w:val="right"/>
                          <w:jc w:val="center"/>
                          <w:jc w:val="center"/>
                        </w:pPr>
                        <w:r>
                          <w:t xml:space="preserve">768</w:t>
                        </w:r>
                      </w:p>
                    </w:tc>
                    <w:tc>
                      <w:tcPr/>
                      <w:p>
                        <w:pPr>
                          <w:pStyle w:val="Compact"/>
                          <w:jc w:val="right"/>
                          <w:jc w:val="center"/>
                          <w:jc w:val="center"/>
                        </w:pPr>
                        <w:r>
                          <w:t xml:space="preserve">677</w:t>
                        </w:r>
                      </w:p>
                    </w:tc>
                    <w:tc>
                      <w:tcPr/>
                      <w:p>
                        <w:pPr>
                          <w:pStyle w:val="Compact"/>
                          <w:jc w:val="right"/>
                          <w:jc w:val="center"/>
                          <w:jc w:val="center"/>
                        </w:pPr>
                        <w:r>
                          <w:t xml:space="preserve">402</w:t>
                        </w:r>
                      </w:p>
                    </w:tc>
                  </w:tr>
                  <w:tr>
                    <w:tc>
                      <w:tcPr/>
                      <w:p>
                        <w:pPr>
                          <w:pStyle w:val="Compact"/>
                          <w:jc w:val="left"/>
                          <w:jc w:val="center"/>
                          <w:jc w:val="center"/>
                        </w:pPr>
                        <w:r>
                          <w:t xml:space="preserve">600-800</w:t>
                        </w:r>
                      </w:p>
                    </w:tc>
                    <w:tc>
                      <w:tcPr/>
                      <w:p>
                        <w:pPr>
                          <w:pStyle w:val="Compact"/>
                          <w:jc w:val="left"/>
                          <w:jc w:val="center"/>
                          <w:jc w:val="center"/>
                        </w:pPr>
                        <w:r>
                          <w:t xml:space="preserve">Extrapolation</w:t>
                        </w:r>
                      </w:p>
                    </w:tc>
                    <w:tc>
                      <w:tcPr/>
                      <w:p>
                        <w:pPr>
                          <w:pStyle w:val="Compact"/>
                          <w:jc w:val="right"/>
                          <w:jc w:val="center"/>
                          <w:jc w:val="center"/>
                        </w:pPr>
                        <w:r>
                          <w:t xml:space="preserve">876</w:t>
                        </w:r>
                      </w:p>
                    </w:tc>
                    <w:tc>
                      <w:tcPr/>
                      <w:p>
                        <w:pPr>
                          <w:pStyle w:val="Compact"/>
                          <w:jc w:val="right"/>
                          <w:jc w:val="center"/>
                          <w:jc w:val="center"/>
                        </w:pPr>
                        <w:r>
                          <w:t xml:space="preserve">813</w:t>
                        </w:r>
                      </w:p>
                    </w:tc>
                    <w:tc>
                      <w:tcPr/>
                      <w:p>
                        <w:pPr>
                          <w:pStyle w:val="Compact"/>
                          <w:jc w:val="right"/>
                          <w:jc w:val="center"/>
                          <w:jc w:val="center"/>
                        </w:pPr>
                        <w:r>
                          <w:t xml:space="preserve">390</w:t>
                        </w:r>
                      </w:p>
                    </w:tc>
                  </w:tr>
                  <w:tr>
                    <w:tc>
                      <w:tcPr/>
                      <w:p>
                        <w:pPr>
                          <w:pStyle w:val="Compact"/>
                          <w:jc w:val="left"/>
                          <w:jc w:val="center"/>
                          <w:jc w:val="center"/>
                        </w:pPr>
                        <w:r>
                          <w:t xml:space="preserve">800-1000</w:t>
                        </w:r>
                      </w:p>
                    </w:tc>
                    <w:tc>
                      <w:tcPr/>
                      <w:p>
                        <w:pPr>
                          <w:pStyle w:val="Compact"/>
                          <w:jc w:val="left"/>
                          <w:jc w:val="center"/>
                          <w:jc w:val="center"/>
                        </w:pPr>
                        <w:r>
                          <w:t xml:space="preserve">Trained</w:t>
                        </w:r>
                      </w:p>
                    </w:tc>
                    <w:tc>
                      <w:tcPr/>
                      <w:p>
                        <w:pPr>
                          <w:pStyle w:val="Compact"/>
                          <w:jc w:val="right"/>
                          <w:jc w:val="center"/>
                          <w:jc w:val="center"/>
                        </w:pPr>
                        <w:r>
                          <w:t xml:space="preserve">1064</w:t>
                        </w:r>
                      </w:p>
                    </w:tc>
                    <w:tc>
                      <w:tcPr/>
                      <w:p>
                        <w:pPr>
                          <w:pStyle w:val="Compact"/>
                          <w:jc w:val="right"/>
                          <w:jc w:val="center"/>
                          <w:jc w:val="center"/>
                        </w:pPr>
                        <w:r>
                          <w:t xml:space="preserve">1029</w:t>
                        </w:r>
                      </w:p>
                    </w:tc>
                    <w:tc>
                      <w:tcPr/>
                      <w:p>
                        <w:pPr>
                          <w:pStyle w:val="Compact"/>
                          <w:jc w:val="right"/>
                          <w:jc w:val="center"/>
                          <w:jc w:val="center"/>
                        </w:pPr>
                        <w:r>
                          <w:t xml:space="preserve">370</w:t>
                        </w:r>
                      </w:p>
                    </w:tc>
                  </w:tr>
                  <w:tr>
                    <w:tc>
                      <w:tcPr/>
                      <w:p>
                        <w:pPr>
                          <w:pStyle w:val="Compact"/>
                          <w:jc w:val="left"/>
                          <w:jc w:val="center"/>
                          <w:jc w:val="center"/>
                        </w:pPr>
                        <w:r>
                          <w:t xml:space="preserve">1000-1200</w:t>
                        </w:r>
                      </w:p>
                    </w:tc>
                    <w:tc>
                      <w:tcPr/>
                      <w:p>
                        <w:pPr>
                          <w:pStyle w:val="Compact"/>
                          <w:jc w:val="left"/>
                          <w:jc w:val="center"/>
                          <w:jc w:val="center"/>
                        </w:pPr>
                        <w:r>
                          <w:t xml:space="preserve">Trained</w:t>
                        </w:r>
                      </w:p>
                    </w:tc>
                    <w:tc>
                      <w:tcPr/>
                      <w:p>
                        <w:pPr>
                          <w:pStyle w:val="Compact"/>
                          <w:jc w:val="right"/>
                          <w:jc w:val="center"/>
                          <w:jc w:val="center"/>
                        </w:pPr>
                        <w:r>
                          <w:t xml:space="preserve">1180</w:t>
                        </w:r>
                      </w:p>
                    </w:tc>
                    <w:tc>
                      <w:tcPr/>
                      <w:p>
                        <w:pPr>
                          <w:pStyle w:val="Compact"/>
                          <w:jc w:val="right"/>
                          <w:jc w:val="center"/>
                          <w:jc w:val="center"/>
                        </w:pPr>
                        <w:r>
                          <w:t xml:space="preserve">1179</w:t>
                        </w:r>
                      </w:p>
                    </w:tc>
                    <w:tc>
                      <w:tcPr/>
                      <w:p>
                        <w:pPr>
                          <w:pStyle w:val="Compact"/>
                          <w:jc w:val="right"/>
                          <w:jc w:val="center"/>
                          <w:jc w:val="center"/>
                        </w:pPr>
                        <w:r>
                          <w:t xml:space="preserve">372</w:t>
                        </w:r>
                      </w:p>
                    </w:tc>
                  </w:tr>
                  <w:tr>
                    <w:tc>
                      <w:tcPr/>
                      <w:p>
                        <w:pPr>
                          <w:pStyle w:val="Compact"/>
                          <w:jc w:val="left"/>
                          <w:jc w:val="center"/>
                          <w:jc w:val="center"/>
                        </w:pPr>
                        <w:r>
                          <w:t xml:space="preserve">1200-1400</w:t>
                        </w:r>
                      </w:p>
                    </w:tc>
                    <w:tc>
                      <w:tcPr/>
                      <w:p>
                        <w:pPr>
                          <w:pStyle w:val="Compact"/>
                          <w:jc w:val="left"/>
                          <w:jc w:val="center"/>
                          <w:jc w:val="center"/>
                        </w:pPr>
                        <w:r>
                          <w:t xml:space="preserve">Trained</w:t>
                        </w:r>
                      </w:p>
                    </w:tc>
                    <w:tc>
                      <w:tcPr/>
                      <w:p>
                        <w:pPr>
                          <w:pStyle w:val="Compact"/>
                          <w:jc w:val="right"/>
                          <w:jc w:val="center"/>
                          <w:jc w:val="center"/>
                        </w:pPr>
                        <w:r>
                          <w:t xml:space="preserve">1265</w:t>
                        </w:r>
                      </w:p>
                    </w:tc>
                    <w:tc>
                      <w:tcPr/>
                      <w:p>
                        <w:pPr>
                          <w:pStyle w:val="Compact"/>
                          <w:jc w:val="right"/>
                          <w:jc w:val="center"/>
                          <w:jc w:val="center"/>
                        </w:pPr>
                        <w:r>
                          <w:t xml:space="preserve">1249</w:t>
                        </w:r>
                      </w:p>
                    </w:tc>
                    <w:tc>
                      <w:tcPr/>
                      <w:p>
                        <w:pPr>
                          <w:pStyle w:val="Compact"/>
                          <w:jc w:val="right"/>
                          <w:jc w:val="center"/>
                          <w:jc w:val="center"/>
                        </w:pPr>
                        <w:r>
                          <w:t xml:space="preserve">412</w:t>
                        </w:r>
                      </w:p>
                    </w:tc>
                  </w:tr>
                </w:tbl>
                <w:bookmarkEnd w:id="110"/>
                <w:bookmarkEnd w:id="111"/>
                <w:p/>
              </w:tc>
            </w:tr>
          </w:tbl>
          <w:bookmarkEnd w:id="112"/>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17" w:name="tbl-e1-bmm-vx"/>
          <w:p>
            <w:pPr>
              <w:jc w:val="center"/>
            </w:pPr>
            <w:pPr>
              <w:jc w:val="start"/>
              <w:spacing w:before="200"/>
              <w:pStyle w:val="ImageCaption"/>
            </w:pPr>
            <w:r>
              <w:t xml:space="preserve">Table 7: Experiment 1. Bayesian Mixed Model Predicting Vx as a function of condition (Constant vs. Varied) and Velocity Band</w:t>
            </w:r>
          </w:p>
          <w:tbl>
            <w:tblPr>
              <w:tblStyle w:val="Table"/>
              <w:tblW w:type="pct" w:w="5000"/>
              <w:tblLook w:firstRow="0" w:lastRow="0" w:firstColumn="0" w:lastColumn="0" w:noHBand="0" w:noVBand="0" w:val="0000"/>
              <w:jc w:val="start"/>
              <w:tblLayout w:type="fixed"/>
            </w:tblPr>
            <w:tblGrid>
              <w:gridCol w:w="7920"/>
            </w:tblGrid>
            <w:tr>
              <w:tc>
                <w:tcPr/>
                <w:bookmarkStart w:id="114" w:name="tbl-e1-bmm-vx-1"/>
                <w:p>
                  <w:pPr>
                    <w:jc w:val="center"/>
                    <w:jc w:val="center"/>
                  </w:pPr>
                  <w:pPr>
                    <w:jc w:val="start"/>
                    <w:spacing w:before="200"/>
                    <w:pStyle w:val="ImageCaption"/>
                  </w:pPr>
                  <w:r>
                    <w:t xml:space="preserve">(a) Model fit to all 6 bands</w:t>
                  </w:r>
                </w:p>
                <w:bookmarkStart w:id="113" w:name="tbl-e1-bmm-vx-1"/>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Term</w:t>
                        </w:r>
                      </w:p>
                    </w:tc>
                    <w:tc>
                      <w:tcPr/>
                      <w:p>
                        <w:pPr>
                          <w:pStyle w:val="Compact"/>
                          <w:jc w:val="right"/>
                          <w:jc w:val="center"/>
                          <w:jc w:val="center"/>
                        </w:pPr>
                        <w:r>
                          <w:t xml:space="preserve">Estimate</w:t>
                        </w:r>
                      </w:p>
                    </w:tc>
                    <w:tc>
                      <w:tcPr/>
                      <w:p>
                        <w:pPr>
                          <w:pStyle w:val="Compact"/>
                          <w:jc w:val="right"/>
                          <w:jc w:val="center"/>
                          <w:jc w:val="center"/>
                        </w:pPr>
                        <w:r>
                          <w:t xml:space="preserve">95% CrI Lower</w:t>
                        </w:r>
                      </w:p>
                    </w:tc>
                    <w:tc>
                      <w:tcPr/>
                      <w:p>
                        <w:pPr>
                          <w:pStyle w:val="Compact"/>
                          <w:jc w:val="right"/>
                          <w:jc w:val="center"/>
                          <w:jc w:val="center"/>
                        </w:pPr>
                        <w:r>
                          <w:t xml:space="preserve">95% CrI Upper</w:t>
                        </w:r>
                      </w:p>
                    </w:tc>
                    <w:tc>
                      <w:tcPr/>
                      <w:p>
                        <w:pPr>
                          <w:pStyle w:val="Compact"/>
                          <w:jc w:val="right"/>
                          <w:jc w:val="center"/>
                          <w:jc w:val="center"/>
                        </w:pPr>
                        <w:r>
                          <w:t xml:space="preserve">pd</w:t>
                        </w:r>
                      </w:p>
                    </w:tc>
                  </w:tr>
                  <w:tr>
                    <w:tc>
                      <w:tcPr/>
                      <w:p>
                        <w:pPr>
                          <w:pStyle w:val="Compact"/>
                          <w:jc w:val="left"/>
                          <w:jc w:val="center"/>
                          <w:jc w:val="center"/>
                        </w:pPr>
                        <w:r>
                          <w:t xml:space="preserve">Intercept</w:t>
                        </w:r>
                      </w:p>
                    </w:tc>
                    <w:tc>
                      <w:tcPr/>
                      <w:p>
                        <w:pPr>
                          <w:pStyle w:val="Compact"/>
                          <w:jc w:val="right"/>
                          <w:jc w:val="center"/>
                          <w:jc w:val="center"/>
                        </w:pPr>
                        <w:r>
                          <w:t xml:space="preserve">408.55</w:t>
                        </w:r>
                      </w:p>
                    </w:tc>
                    <w:tc>
                      <w:tcPr/>
                      <w:p>
                        <w:pPr>
                          <w:pStyle w:val="Compact"/>
                          <w:jc w:val="right"/>
                          <w:jc w:val="center"/>
                          <w:jc w:val="center"/>
                        </w:pPr>
                        <w:r>
                          <w:t xml:space="preserve">327.00</w:t>
                        </w:r>
                      </w:p>
                    </w:tc>
                    <w:tc>
                      <w:tcPr/>
                      <w:p>
                        <w:pPr>
                          <w:pStyle w:val="Compact"/>
                          <w:jc w:val="right"/>
                          <w:jc w:val="center"/>
                          <w:jc w:val="center"/>
                        </w:pPr>
                        <w:r>
                          <w:t xml:space="preserve">490.61</w:t>
                        </w:r>
                      </w:p>
                    </w:tc>
                    <w:tc>
                      <w:tcPr/>
                      <w:p>
                        <w:pPr>
                          <w:pStyle w:val="Compact"/>
                          <w:jc w:val="right"/>
                          <w:jc w:val="center"/>
                          <w:jc w:val="center"/>
                        </w:pPr>
                        <w:r>
                          <w:t xml:space="preserve">1.00</w:t>
                        </w:r>
                      </w:p>
                    </w:tc>
                  </w:tr>
                  <w:tr>
                    <w:tc>
                      <w:tcPr/>
                      <w:p>
                        <w:pPr>
                          <w:pStyle w:val="Compact"/>
                          <w:jc w:val="left"/>
                          <w:jc w:val="center"/>
                          <w:jc w:val="center"/>
                        </w:pPr>
                        <w:r>
                          <w:t xml:space="preserve">conditVaried</w:t>
                        </w:r>
                      </w:p>
                    </w:tc>
                    <w:tc>
                      <w:tcPr/>
                      <w:p>
                        <w:pPr>
                          <w:pStyle w:val="Compact"/>
                          <w:jc w:val="right"/>
                          <w:jc w:val="center"/>
                          <w:jc w:val="center"/>
                        </w:pPr>
                        <w:r>
                          <w:t xml:space="preserve">164.05</w:t>
                        </w:r>
                      </w:p>
                    </w:tc>
                    <w:tc>
                      <w:tcPr/>
                      <w:p>
                        <w:pPr>
                          <w:pStyle w:val="Compact"/>
                          <w:jc w:val="right"/>
                          <w:jc w:val="center"/>
                          <w:jc w:val="center"/>
                        </w:pPr>
                        <w:r>
                          <w:t xml:space="preserve">45.50</w:t>
                        </w:r>
                      </w:p>
                    </w:tc>
                    <w:tc>
                      <w:tcPr/>
                      <w:p>
                        <w:pPr>
                          <w:pStyle w:val="Compact"/>
                          <w:jc w:val="right"/>
                          <w:jc w:val="center"/>
                          <w:jc w:val="center"/>
                        </w:pPr>
                        <w:r>
                          <w:t xml:space="preserve">278.85</w:t>
                        </w:r>
                      </w:p>
                    </w:tc>
                    <w:tc>
                      <w:tcPr/>
                      <w:p>
                        <w:pPr>
                          <w:pStyle w:val="Compact"/>
                          <w:jc w:val="right"/>
                          <w:jc w:val="center"/>
                          <w:jc w:val="center"/>
                        </w:pPr>
                        <w:r>
                          <w:t xml:space="preserve">1.00</w:t>
                        </w:r>
                      </w:p>
                    </w:tc>
                  </w:tr>
                  <w:tr>
                    <w:tc>
                      <w:tcPr/>
                      <w:p>
                        <w:pPr>
                          <w:pStyle w:val="Compact"/>
                          <w:jc w:val="left"/>
                          <w:jc w:val="center"/>
                          <w:jc w:val="center"/>
                        </w:pPr>
                        <w:r>
                          <w:t xml:space="preserve">Band</w:t>
                        </w:r>
                      </w:p>
                    </w:tc>
                    <w:tc>
                      <w:tcPr/>
                      <w:p>
                        <w:pPr>
                          <w:pStyle w:val="Compact"/>
                          <w:jc w:val="right"/>
                          <w:jc w:val="center"/>
                          <w:jc w:val="center"/>
                        </w:pPr>
                        <w:r>
                          <w:t xml:space="preserve">0.71</w:t>
                        </w:r>
                      </w:p>
                    </w:tc>
                    <w:tc>
                      <w:tcPr/>
                      <w:p>
                        <w:pPr>
                          <w:pStyle w:val="Compact"/>
                          <w:jc w:val="right"/>
                          <w:jc w:val="center"/>
                          <w:jc w:val="center"/>
                        </w:pPr>
                        <w:r>
                          <w:t xml:space="preserve">0.62</w:t>
                        </w:r>
                      </w:p>
                    </w:tc>
                    <w:tc>
                      <w:tcPr/>
                      <w:p>
                        <w:pPr>
                          <w:pStyle w:val="Compact"/>
                          <w:jc w:val="right"/>
                          <w:jc w:val="center"/>
                          <w:jc w:val="center"/>
                        </w:pPr>
                        <w:r>
                          <w:t xml:space="preserve">0.80</w:t>
                        </w:r>
                      </w:p>
                    </w:tc>
                    <w:tc>
                      <w:tcPr/>
                      <w:p>
                        <w:pPr>
                          <w:pStyle w:val="Compact"/>
                          <w:jc w:val="right"/>
                          <w:jc w:val="center"/>
                          <w:jc w:val="center"/>
                        </w:pPr>
                        <w:r>
                          <w:t xml:space="preserve">1.00</w:t>
                        </w:r>
                      </w:p>
                    </w:tc>
                  </w:tr>
                  <w:tr>
                    <w:tc>
                      <w:tcPr/>
                      <w:p>
                        <w:pPr>
                          <w:pStyle w:val="Compact"/>
                          <w:jc w:val="left"/>
                          <w:jc w:val="center"/>
                          <w:jc w:val="center"/>
                        </w:pPr>
                        <w:r>
                          <w:t xml:space="preserve">condit*Band</w:t>
                        </w:r>
                      </w:p>
                    </w:tc>
                    <w:tc>
                      <w:tcPr/>
                      <w:p>
                        <w:pPr>
                          <w:pStyle w:val="Compact"/>
                          <w:jc w:val="right"/>
                          <w:jc w:val="center"/>
                          <w:jc w:val="center"/>
                        </w:pPr>
                        <w:r>
                          <w:t xml:space="preserve">-0.14</w:t>
                        </w:r>
                      </w:p>
                    </w:tc>
                    <w:tc>
                      <w:tcPr/>
                      <w:p>
                        <w:pPr>
                          <w:pStyle w:val="Compact"/>
                          <w:jc w:val="right"/>
                          <w:jc w:val="center"/>
                          <w:jc w:val="center"/>
                        </w:pPr>
                        <w:r>
                          <w:t xml:space="preserve">-0.26</w:t>
                        </w:r>
                      </w:p>
                    </w:tc>
                    <w:tc>
                      <w:tcPr/>
                      <w:p>
                        <w:pPr>
                          <w:pStyle w:val="Compact"/>
                          <w:jc w:val="right"/>
                          <w:jc w:val="center"/>
                          <w:jc w:val="center"/>
                        </w:pPr>
                        <w:r>
                          <w:t xml:space="preserve">-0.01</w:t>
                        </w:r>
                      </w:p>
                    </w:tc>
                    <w:tc>
                      <w:tcPr/>
                      <w:p>
                        <w:pPr>
                          <w:pStyle w:val="Compact"/>
                          <w:jc w:val="right"/>
                          <w:jc w:val="center"/>
                          <w:jc w:val="center"/>
                        </w:pPr>
                        <w:r>
                          <w:t xml:space="preserve">0.98</w:t>
                        </w:r>
                      </w:p>
                    </w:tc>
                  </w:tr>
                </w:tbl>
                <w:bookmarkEnd w:id="113"/>
                <w:bookmarkEnd w:id="114"/>
                <w:p/>
              </w:tc>
            </w:tr>
          </w:tbl>
          <w:tbl>
            <w:tblPr>
              <w:tblStyle w:val="Table"/>
              <w:tblW w:type="pct" w:w="5000"/>
              <w:tblLook w:firstRow="0" w:lastRow="0" w:firstColumn="0" w:lastColumn="0" w:noHBand="0" w:noVBand="0" w:val="0000"/>
              <w:jc w:val="start"/>
              <w:tblLayout w:type="fixed"/>
            </w:tblPr>
            <w:tblGrid>
              <w:gridCol w:w="7920"/>
            </w:tblGrid>
            <w:tr>
              <w:tc>
                <w:tcPr/>
                <w:bookmarkStart w:id="116" w:name="tbl-e1-bmm-vx-2"/>
                <w:p>
                  <w:pPr>
                    <w:jc w:val="center"/>
                    <w:jc w:val="center"/>
                  </w:pPr>
                  <w:pPr>
                    <w:jc w:val="start"/>
                    <w:spacing w:before="200"/>
                    <w:pStyle w:val="ImageCaption"/>
                  </w:pPr>
                  <w:r>
                    <w:t xml:space="preserve">(b) Model fit to 3 extrapolation bands</w:t>
                  </w:r>
                </w:p>
                <w:bookmarkStart w:id="115" w:name="tbl-e1-bmm-vx-2"/>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Term</w:t>
                        </w:r>
                      </w:p>
                    </w:tc>
                    <w:tc>
                      <w:tcPr/>
                      <w:p>
                        <w:pPr>
                          <w:pStyle w:val="Compact"/>
                          <w:jc w:val="right"/>
                          <w:jc w:val="center"/>
                          <w:jc w:val="center"/>
                        </w:pPr>
                        <w:r>
                          <w:t xml:space="preserve">Estimate</w:t>
                        </w:r>
                      </w:p>
                    </w:tc>
                    <w:tc>
                      <w:tcPr/>
                      <w:p>
                        <w:pPr>
                          <w:pStyle w:val="Compact"/>
                          <w:jc w:val="right"/>
                          <w:jc w:val="center"/>
                          <w:jc w:val="center"/>
                        </w:pPr>
                        <w:r>
                          <w:t xml:space="preserve">95% CrI Lower</w:t>
                        </w:r>
                      </w:p>
                    </w:tc>
                    <w:tc>
                      <w:tcPr/>
                      <w:p>
                        <w:pPr>
                          <w:pStyle w:val="Compact"/>
                          <w:jc w:val="right"/>
                          <w:jc w:val="center"/>
                          <w:jc w:val="center"/>
                        </w:pPr>
                        <w:r>
                          <w:t xml:space="preserve">95% CrI Upper</w:t>
                        </w:r>
                      </w:p>
                    </w:tc>
                    <w:tc>
                      <w:tcPr/>
                      <w:p>
                        <w:pPr>
                          <w:pStyle w:val="Compact"/>
                          <w:jc w:val="right"/>
                          <w:jc w:val="center"/>
                          <w:jc w:val="center"/>
                        </w:pPr>
                        <w:r>
                          <w:t xml:space="preserve">pd</w:t>
                        </w:r>
                      </w:p>
                    </w:tc>
                  </w:tr>
                  <w:tr>
                    <w:tc>
                      <w:tcPr/>
                      <w:p>
                        <w:pPr>
                          <w:pStyle w:val="Compact"/>
                          <w:jc w:val="left"/>
                          <w:jc w:val="center"/>
                          <w:jc w:val="center"/>
                        </w:pPr>
                        <w:r>
                          <w:t xml:space="preserve">Intercept</w:t>
                        </w:r>
                      </w:p>
                    </w:tc>
                    <w:tc>
                      <w:tcPr/>
                      <w:p>
                        <w:pPr>
                          <w:pStyle w:val="Compact"/>
                          <w:jc w:val="right"/>
                          <w:jc w:val="center"/>
                          <w:jc w:val="center"/>
                        </w:pPr>
                        <w:r>
                          <w:t xml:space="preserve">478.47</w:t>
                        </w:r>
                      </w:p>
                    </w:tc>
                    <w:tc>
                      <w:tcPr/>
                      <w:p>
                        <w:pPr>
                          <w:pStyle w:val="Compact"/>
                          <w:jc w:val="right"/>
                          <w:jc w:val="center"/>
                          <w:jc w:val="center"/>
                        </w:pPr>
                        <w:r>
                          <w:t xml:space="preserve">404.00</w:t>
                        </w:r>
                      </w:p>
                    </w:tc>
                    <w:tc>
                      <w:tcPr/>
                      <w:p>
                        <w:pPr>
                          <w:pStyle w:val="Compact"/>
                          <w:jc w:val="right"/>
                          <w:jc w:val="center"/>
                          <w:jc w:val="center"/>
                        </w:pPr>
                        <w:r>
                          <w:t xml:space="preserve">551.45</w:t>
                        </w:r>
                      </w:p>
                    </w:tc>
                    <w:tc>
                      <w:tcPr/>
                      <w:p>
                        <w:pPr>
                          <w:pStyle w:val="Compact"/>
                          <w:jc w:val="right"/>
                          <w:jc w:val="center"/>
                          <w:jc w:val="center"/>
                        </w:pPr>
                        <w:r>
                          <w:t xml:space="preserve">1.00</w:t>
                        </w:r>
                      </w:p>
                    </w:tc>
                  </w:tr>
                  <w:tr>
                    <w:tc>
                      <w:tcPr/>
                      <w:p>
                        <w:pPr>
                          <w:pStyle w:val="Compact"/>
                          <w:jc w:val="left"/>
                          <w:jc w:val="center"/>
                          <w:jc w:val="center"/>
                        </w:pPr>
                        <w:r>
                          <w:t xml:space="preserve">conditVaried</w:t>
                        </w:r>
                      </w:p>
                    </w:tc>
                    <w:tc>
                      <w:tcPr/>
                      <w:p>
                        <w:pPr>
                          <w:pStyle w:val="Compact"/>
                          <w:jc w:val="right"/>
                          <w:jc w:val="center"/>
                          <w:jc w:val="center"/>
                        </w:pPr>
                        <w:r>
                          <w:t xml:space="preserve">142.04</w:t>
                        </w:r>
                      </w:p>
                    </w:tc>
                    <w:tc>
                      <w:tcPr/>
                      <w:p>
                        <w:pPr>
                          <w:pStyle w:val="Compact"/>
                          <w:jc w:val="right"/>
                          <w:jc w:val="center"/>
                          <w:jc w:val="center"/>
                        </w:pPr>
                        <w:r>
                          <w:t xml:space="preserve">37.17</w:t>
                        </w:r>
                      </w:p>
                    </w:tc>
                    <w:tc>
                      <w:tcPr/>
                      <w:p>
                        <w:pPr>
                          <w:pStyle w:val="Compact"/>
                          <w:jc w:val="right"/>
                          <w:jc w:val="center"/>
                          <w:jc w:val="center"/>
                        </w:pPr>
                        <w:r>
                          <w:t xml:space="preserve">247.59</w:t>
                        </w:r>
                      </w:p>
                    </w:tc>
                    <w:tc>
                      <w:tcPr/>
                      <w:p>
                        <w:pPr>
                          <w:pStyle w:val="Compact"/>
                          <w:jc w:val="right"/>
                          <w:jc w:val="center"/>
                          <w:jc w:val="center"/>
                        </w:pPr>
                        <w:r>
                          <w:t xml:space="preserve">1.00</w:t>
                        </w:r>
                      </w:p>
                    </w:tc>
                  </w:tr>
                  <w:tr>
                    <w:tc>
                      <w:tcPr/>
                      <w:p>
                        <w:pPr>
                          <w:pStyle w:val="Compact"/>
                          <w:jc w:val="left"/>
                          <w:jc w:val="center"/>
                          <w:jc w:val="center"/>
                        </w:pPr>
                        <w:r>
                          <w:t xml:space="preserve">Band</w:t>
                        </w:r>
                      </w:p>
                    </w:tc>
                    <w:tc>
                      <w:tcPr/>
                      <w:p>
                        <w:pPr>
                          <w:pStyle w:val="Compact"/>
                          <w:jc w:val="right"/>
                          <w:jc w:val="center"/>
                          <w:jc w:val="center"/>
                        </w:pPr>
                        <w:r>
                          <w:t xml:space="preserve">0.50</w:t>
                        </w:r>
                      </w:p>
                    </w:tc>
                    <w:tc>
                      <w:tcPr/>
                      <w:p>
                        <w:pPr>
                          <w:pStyle w:val="Compact"/>
                          <w:jc w:val="right"/>
                          <w:jc w:val="center"/>
                          <w:jc w:val="center"/>
                        </w:pPr>
                        <w:r>
                          <w:t xml:space="preserve">0.42</w:t>
                        </w:r>
                      </w:p>
                    </w:tc>
                    <w:tc>
                      <w:tcPr/>
                      <w:p>
                        <w:pPr>
                          <w:pStyle w:val="Compact"/>
                          <w:jc w:val="right"/>
                          <w:jc w:val="center"/>
                          <w:jc w:val="center"/>
                        </w:pPr>
                        <w:r>
                          <w:t xml:space="preserve">0.57</w:t>
                        </w:r>
                      </w:p>
                    </w:tc>
                    <w:tc>
                      <w:tcPr/>
                      <w:p>
                        <w:pPr>
                          <w:pStyle w:val="Compact"/>
                          <w:jc w:val="right"/>
                          <w:jc w:val="center"/>
                          <w:jc w:val="center"/>
                        </w:pPr>
                        <w:r>
                          <w:t xml:space="preserve">1.00</w:t>
                        </w:r>
                      </w:p>
                    </w:tc>
                  </w:tr>
                  <w:tr>
                    <w:tc>
                      <w:tcPr/>
                      <w:p>
                        <w:pPr>
                          <w:pStyle w:val="Compact"/>
                          <w:jc w:val="left"/>
                          <w:jc w:val="center"/>
                          <w:jc w:val="center"/>
                        </w:pPr>
                        <w:r>
                          <w:t xml:space="preserve">condit*Band</w:t>
                        </w:r>
                      </w:p>
                    </w:tc>
                    <w:tc>
                      <w:tcPr/>
                      <w:p>
                        <w:pPr>
                          <w:pStyle w:val="Compact"/>
                          <w:jc w:val="right"/>
                          <w:jc w:val="center"/>
                          <w:jc w:val="center"/>
                        </w:pPr>
                        <w:r>
                          <w:t xml:space="preserve">-0.07</w:t>
                        </w:r>
                      </w:p>
                    </w:tc>
                    <w:tc>
                      <w:tcPr/>
                      <w:p>
                        <w:pPr>
                          <w:pStyle w:val="Compact"/>
                          <w:jc w:val="right"/>
                          <w:jc w:val="center"/>
                          <w:jc w:val="center"/>
                        </w:pPr>
                        <w:r>
                          <w:t xml:space="preserve">-0.17</w:t>
                        </w:r>
                      </w:p>
                    </w:tc>
                    <w:tc>
                      <w:tcPr/>
                      <w:p>
                        <w:pPr>
                          <w:pStyle w:val="Compact"/>
                          <w:jc w:val="right"/>
                          <w:jc w:val="center"/>
                          <w:jc w:val="center"/>
                        </w:pPr>
                        <w:r>
                          <w:t xml:space="preserve">0.04</w:t>
                        </w:r>
                      </w:p>
                    </w:tc>
                    <w:tc>
                      <w:tcPr/>
                      <w:p>
                        <w:pPr>
                          <w:pStyle w:val="Compact"/>
                          <w:jc w:val="right"/>
                          <w:jc w:val="center"/>
                          <w:jc w:val="center"/>
                        </w:pPr>
                        <w:r>
                          <w:t xml:space="preserve">0.89</w:t>
                        </w:r>
                      </w:p>
                    </w:tc>
                  </w:tr>
                </w:tbl>
                <w:bookmarkEnd w:id="115"/>
                <w:bookmarkEnd w:id="116"/>
                <w:p/>
              </w:tc>
            </w:tr>
          </w:tbl>
          <w:bookmarkEnd w:id="117"/>
          <w:p/>
        </w:tc>
      </w:tr>
    </w:tbl>
    <w:p>
      <w:pPr>
        <w:pStyle w:val="BodyText"/>
      </w:pPr>
      <w:r>
        <w:t xml:space="preserve">See</w:t>
      </w:r>
      <w:r>
        <w:t xml:space="preserve"> </w:t>
      </w:r>
      <w:hyperlink w:anchor="tbl-e1-bmm-vx">
        <w:r>
          <w:rPr>
            <w:rStyle w:val="Hyperlink"/>
          </w:rPr>
          <w:t xml:space="preserve">Table 7</w:t>
        </w:r>
      </w:hyperlink>
      <w:r>
        <w:t xml:space="preserve"> </w:t>
      </w:r>
      <w:r>
        <w:t xml:space="preserve">for the full model results. The estimated coefficient for training condition (</w:t>
      </w:r>
      <m:oMath>
        <m:r>
          <m:t>B</m:t>
        </m:r>
      </m:oMath>
      <w:r>
        <w:t xml:space="preserve"> </w:t>
      </w:r>
      <w:r>
        <w:t xml:space="preserve">= 164.05, 95% CrI [45.5, 278.85]) suggests that the varied group tends to produce harder throws than the constant group, but is not in and of itself useful for assessing discrimination. Most relevant to the issue of discrimination is the slope on Velocity Band (</w:t>
      </w:r>
      <m:oMath>
        <m:r>
          <m:t>B</m:t>
        </m:r>
      </m:oMath>
      <w:r>
        <w:t xml:space="preserve"> </w:t>
      </w:r>
      <w:r>
        <w:t xml:space="preserve">= 0.71, 95% CrI [0.62, 0.8]). Although the median slope does fall underneath the ideal of value of 1, the fact that the 95% credible interval does not contain 0 provides strong evidence that participants exhibited some discrimination between bands. The estimate for the interaction between slope and condition (</w:t>
      </w:r>
      <m:oMath>
        <m:r>
          <m:t>B</m:t>
        </m:r>
      </m:oMath>
      <w:r>
        <w:t xml:space="preserve"> </w:t>
      </w:r>
      <w:r>
        <w:t xml:space="preserve">= -0.14, 95% CrI [-0.26, -0.01]), suggests that the discrimination was somewhat modulated by training condition, with the varied participants showing less senitivity between vands than the constant condition. This difference is depicted visually in</w:t>
      </w:r>
      <w:r>
        <w:t xml:space="preserve"> </w:t>
      </w:r>
      <w:r>
        <w:rPr>
          <w:bCs/>
          <w:b/>
        </w:rPr>
        <w:t xml:space="preserve">?@fig-e1-bmm-vx.Slope</w:t>
      </w:r>
      <w:r>
        <w:t xml:space="preserve"> </w:t>
      </w:r>
      <w:r>
        <w:t xml:space="preserve">coefficients are broken down by quartile in</w:t>
      </w:r>
      <w:r>
        <w:t xml:space="preserve"> </w:t>
      </w:r>
      <w:hyperlink w:anchor="tbl-e1-slope-quartile">
        <w:r>
          <w:rPr>
            <w:rStyle w:val="Hyperlink"/>
          </w:rPr>
          <w:t xml:space="preserve">Table 8</w:t>
        </w:r>
      </w:hyperlink>
      <w:r>
        <w:t xml:space="preserve">. The constant participant participants appear to have larger slopes across quartiles, but the difference between conditions may be less pronounced for the top quartiles of subjects who show the strongest discrimination. Figure</w:t>
      </w:r>
      <w:r>
        <w:t xml:space="preserve"> </w:t>
      </w:r>
      <w:hyperlink w:anchor="fig-e1-bmm-bx2">
        <w:r>
          <w:rPr>
            <w:rStyle w:val="Hyperlink"/>
          </w:rPr>
          <w:t xml:space="preserve">Figure 15</w:t>
        </w:r>
      </w:hyperlink>
      <w:r>
        <w:t xml:space="preserve"> </w:t>
      </w:r>
      <w:r>
        <w:t xml:space="preserve">shows the distributions of slope values for each participant, and the compares the probability density of slope coefficients between training conditions.</w:t>
      </w:r>
      <w:r>
        <w:t xml:space="preserve"> </w:t>
      </w:r>
      <w:hyperlink w:anchor="fig-e1-indv-slopes">
        <w:r>
          <w:rPr>
            <w:rStyle w:val="Hyperlink"/>
          </w:rPr>
          <w:t xml:space="preserve">Figure 16</w:t>
        </w:r>
      </w:hyperlink>
    </w:p>
    <w:p>
      <w:pPr>
        <w:pStyle w:val="BodyText"/>
      </w:pPr>
      <w:r>
        <w:t xml:space="preserve">The second model, which focused solely on extrapolation bands, revealed similar patterns. The Velocity Band term (</w:t>
      </w:r>
      <m:oMath>
        <m:r>
          <m:t>B</m:t>
        </m:r>
      </m:oMath>
      <w:r>
        <w:t xml:space="preserve"> </w:t>
      </w:r>
      <w:r>
        <w:t xml:space="preserve">= 0.5, 95% CrI [0.42, 0.57]) still demonstrates a high degree of discrimination ability. However, the posterior distribution for interaction term (</w:t>
      </w:r>
      <m:oMath>
        <m:r>
          <m:t>B</m:t>
        </m:r>
      </m:oMath>
      <w:r>
        <w:t xml:space="preserve"> </w:t>
      </w:r>
      <w:r>
        <w:t xml:space="preserve">= -0.07, 95% CrI [-0.17, 0.04] ) does across over 0, suggesting that the evidence for decreased discrimination ability for the varied participants is not as strong when considering only the three extrapolation bands.</w:t>
      </w:r>
    </w:p>
    <w:bookmarkStart w:id="120" w:name="fig-e1-bmm-vx"/>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18" w:name="fig-e1-bmm-vx-1"/>
                <w:p>
                  <w:pPr>
                    <w:pStyle w:val="Compact"/>
                    <w:jc w:val="center"/>
                    <w:jc w:val="left"/>
                  </w:pPr>
                </w:p>
                <w:p>
                  <w:pPr>
                    <w:jc w:val="center"/>
                    <w:jc w:val="left"/>
                  </w:pPr>
                  <w:pPr>
                    <w:jc w:val="start"/>
                    <w:spacing w:before="200"/>
                    <w:pStyle w:val="ImageCaption"/>
                  </w:pPr>
                  <w:r>
                    <w:t xml:space="preserve">(a) Model fit to all 6 bands</w:t>
                  </w:r>
                </w:p>
                <w:bookmarkEnd w:id="118"/>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19" w:name="fig-e1-bmm-vx-2"/>
                <w:p>
                  <w:pPr>
                    <w:pStyle w:val="Compact"/>
                    <w:jc w:val="center"/>
                    <w:jc w:val="left"/>
                  </w:pPr>
                </w:p>
                <w:p>
                  <w:pPr>
                    <w:jc w:val="center"/>
                    <w:jc w:val="left"/>
                  </w:pPr>
                  <w:pPr>
                    <w:jc w:val="start"/>
                    <w:spacing w:before="200"/>
                    <w:pStyle w:val="ImageCaption"/>
                  </w:pPr>
                  <w:r>
                    <w:t xml:space="preserve">(b) Model fit to only 3 extrapolation bands</w:t>
                  </w:r>
                </w:p>
                <w:bookmarkEnd w:id="119"/>
              </w:tc>
            </w:tr>
          </w:tbl>
          <w:p/>
        </w:tc>
      </w:tr>
    </w:tbl>
    <w:p>
      <w:pPr>
        <w:pStyle w:val="BodyText"/>
      </w:pPr>
      <w:pPr>
        <w:spacing w:before="200"/>
        <w:pStyle w:val="ImageCaption"/>
      </w:pPr>
      <w:r>
        <w:t xml:space="preserve">Figure 14: Conditional effect of training condition and Band. Ribbons indicate 95% HDI. The steepness of the lines serves as an indicator of how well participants discriminated between velocity bands.</w:t>
      </w:r>
    </w:p>
    <w:bookmarkEnd w:id="120"/>
    <w:tbl>
      <w:tblPr>
        <w:tblStyle w:val="Table"/>
        <w:tblW w:type="pct" w:w="5000"/>
        <w:tblLook w:firstRow="0" w:lastRow="0" w:firstColumn="0" w:lastColumn="0" w:noHBand="0" w:noVBand="0" w:val="0000"/>
        <w:jc w:val="start"/>
        <w:tblLayout w:type="fixed"/>
      </w:tblPr>
      <w:tblGrid>
        <w:gridCol w:w="7920"/>
      </w:tblGrid>
      <w:tr>
        <w:tc>
          <w:tcPr/>
          <w:bookmarkStart w:id="121" w:name="tbl-e1-slope-quartile"/>
          <w:p>
            <w:pPr>
              <w:jc w:val="center"/>
            </w:pPr>
            <w:pPr>
              <w:jc w:val="start"/>
              <w:spacing w:before="200"/>
              <w:pStyle w:val="ImageCaption"/>
            </w:pPr>
            <w:r>
              <w:t xml:space="preserve">Table 8: Slope coefficients by quartile, per condition</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jc w:val="center"/>
                  </w:pPr>
                  <w:r>
                    <w:t xml:space="preserve">Condition</w:t>
                  </w:r>
                </w:p>
              </w:tc>
              <w:tc>
                <w:tcPr/>
                <w:p>
                  <w:pPr>
                    <w:pStyle w:val="Compact"/>
                    <w:jc w:val="right"/>
                    <w:jc w:val="center"/>
                  </w:pPr>
                  <w:r>
                    <w:t xml:space="preserve">Q_0%_mean</w:t>
                  </w:r>
                </w:p>
              </w:tc>
              <w:tc>
                <w:tcPr/>
                <w:p>
                  <w:pPr>
                    <w:pStyle w:val="Compact"/>
                    <w:jc w:val="right"/>
                    <w:jc w:val="center"/>
                  </w:pPr>
                  <w:r>
                    <w:t xml:space="preserve">Q_25%_mean</w:t>
                  </w:r>
                </w:p>
              </w:tc>
              <w:tc>
                <w:tcPr/>
                <w:p>
                  <w:pPr>
                    <w:pStyle w:val="Compact"/>
                    <w:jc w:val="right"/>
                    <w:jc w:val="center"/>
                  </w:pPr>
                  <w:r>
                    <w:t xml:space="preserve">Q_50%_mean</w:t>
                  </w:r>
                </w:p>
              </w:tc>
              <w:tc>
                <w:tcPr/>
                <w:p>
                  <w:pPr>
                    <w:pStyle w:val="Compact"/>
                    <w:jc w:val="right"/>
                    <w:jc w:val="center"/>
                  </w:pPr>
                  <w:r>
                    <w:t xml:space="preserve">Q_75%_mean</w:t>
                  </w:r>
                </w:p>
              </w:tc>
              <w:tc>
                <w:tcPr/>
                <w:p>
                  <w:pPr>
                    <w:pStyle w:val="Compact"/>
                    <w:jc w:val="right"/>
                    <w:jc w:val="center"/>
                  </w:pPr>
                  <w:r>
                    <w:t xml:space="preserve">Q_100%_mean</w:t>
                  </w:r>
                </w:p>
              </w:tc>
            </w:tr>
            <w:tr>
              <w:tc>
                <w:tcPr/>
                <w:p>
                  <w:pPr>
                    <w:pStyle w:val="Compact"/>
                    <w:jc w:val="left"/>
                    <w:jc w:val="center"/>
                  </w:pPr>
                  <w:r>
                    <w:t xml:space="preserve">Constant</w:t>
                  </w:r>
                </w:p>
              </w:tc>
              <w:tc>
                <w:tcPr/>
                <w:p>
                  <w:pPr>
                    <w:pStyle w:val="Compact"/>
                    <w:jc w:val="right"/>
                    <w:jc w:val="center"/>
                  </w:pPr>
                  <w:r>
                    <w:t xml:space="preserve">-0.116</w:t>
                  </w:r>
                </w:p>
              </w:tc>
              <w:tc>
                <w:tcPr/>
                <w:p>
                  <w:pPr>
                    <w:pStyle w:val="Compact"/>
                    <w:jc w:val="right"/>
                    <w:jc w:val="center"/>
                  </w:pPr>
                  <w:r>
                    <w:t xml:space="preserve">0.478</w:t>
                  </w:r>
                </w:p>
              </w:tc>
              <w:tc>
                <w:tcPr/>
                <w:p>
                  <w:pPr>
                    <w:pStyle w:val="Compact"/>
                    <w:jc w:val="right"/>
                    <w:jc w:val="center"/>
                  </w:pPr>
                  <w:r>
                    <w:t xml:space="preserve">0.690</w:t>
                  </w:r>
                </w:p>
              </w:tc>
              <w:tc>
                <w:tcPr/>
                <w:p>
                  <w:pPr>
                    <w:pStyle w:val="Compact"/>
                    <w:jc w:val="right"/>
                    <w:jc w:val="center"/>
                  </w:pPr>
                  <w:r>
                    <w:t xml:space="preserve">0.933</w:t>
                  </w:r>
                </w:p>
              </w:tc>
              <w:tc>
                <w:tcPr/>
                <w:p>
                  <w:pPr>
                    <w:pStyle w:val="Compact"/>
                    <w:jc w:val="right"/>
                    <w:jc w:val="center"/>
                  </w:pPr>
                  <w:r>
                    <w:t xml:space="preserve">1.4</w:t>
                  </w:r>
                </w:p>
              </w:tc>
            </w:tr>
            <w:tr>
              <w:tc>
                <w:tcPr/>
                <w:p>
                  <w:pPr>
                    <w:pStyle w:val="Compact"/>
                    <w:jc w:val="left"/>
                    <w:jc w:val="center"/>
                  </w:pPr>
                  <w:r>
                    <w:t xml:space="preserve">Varied</w:t>
                  </w:r>
                </w:p>
              </w:tc>
              <w:tc>
                <w:tcPr/>
                <w:p>
                  <w:pPr>
                    <w:pStyle w:val="Compact"/>
                    <w:jc w:val="right"/>
                    <w:jc w:val="center"/>
                  </w:pPr>
                  <w:r>
                    <w:t xml:space="preserve">-0.201</w:t>
                  </w:r>
                </w:p>
              </w:tc>
              <w:tc>
                <w:tcPr/>
                <w:p>
                  <w:pPr>
                    <w:pStyle w:val="Compact"/>
                    <w:jc w:val="right"/>
                    <w:jc w:val="center"/>
                  </w:pPr>
                  <w:r>
                    <w:t xml:space="preserve">0.266</w:t>
                  </w:r>
                </w:p>
              </w:tc>
              <w:tc>
                <w:tcPr/>
                <w:p>
                  <w:pPr>
                    <w:pStyle w:val="Compact"/>
                    <w:jc w:val="right"/>
                    <w:jc w:val="center"/>
                  </w:pPr>
                  <w:r>
                    <w:t xml:space="preserve">0.587</w:t>
                  </w:r>
                </w:p>
              </w:tc>
              <w:tc>
                <w:tcPr/>
                <w:p>
                  <w:pPr>
                    <w:pStyle w:val="Compact"/>
                    <w:jc w:val="right"/>
                    <w:jc w:val="center"/>
                  </w:pPr>
                  <w:r>
                    <w:t xml:space="preserve">0.901</w:t>
                  </w:r>
                </w:p>
              </w:tc>
              <w:tc>
                <w:tcPr/>
                <w:p>
                  <w:pPr>
                    <w:pStyle w:val="Compact"/>
                    <w:jc w:val="right"/>
                    <w:jc w:val="center"/>
                  </w:pPr>
                  <w:r>
                    <w:t xml:space="preserve">1.3</w:t>
                  </w:r>
                </w:p>
              </w:tc>
            </w:tr>
          </w:tbl>
          <w:bookmarkEnd w:id="121"/>
          <w:p/>
        </w:tc>
      </w:tr>
    </w:tbl>
    <w:bookmarkStart w:id="124" w:name="fig-e1-bmm-bx2"/>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22" w:name="fig-e1-bmm-bx2-1"/>
                <w:p>
                  <w:pPr>
                    <w:pStyle w:val="Compact"/>
                    <w:jc w:val="center"/>
                    <w:jc w:val="left"/>
                  </w:pPr>
                </w:p>
                <w:p>
                  <w:pPr>
                    <w:jc w:val="center"/>
                    <w:jc w:val="left"/>
                  </w:pPr>
                  <w:pPr>
                    <w:jc w:val="start"/>
                    <w:spacing w:before="200"/>
                    <w:pStyle w:val="ImageCaption"/>
                  </w:pPr>
                  <w:r>
                    <w:t xml:space="preserve">(a) Slope estimates by participant - ordered from lowest to highest within each condition.</w:t>
                  </w:r>
                </w:p>
                <w:bookmarkEnd w:id="122"/>
              </w:tc>
            </w:tr>
          </w:tbl>
          <w:p/>
        </w:tc>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23" w:name="fig-e1-bmm-bx2-2"/>
                <w:p>
                  <w:pPr>
                    <w:pStyle w:val="Compact"/>
                    <w:jc w:val="center"/>
                    <w:jc w:val="left"/>
                  </w:pPr>
                </w:p>
                <w:p>
                  <w:pPr>
                    <w:jc w:val="center"/>
                    <w:jc w:val="left"/>
                  </w:pPr>
                  <w:pPr>
                    <w:jc w:val="start"/>
                    <w:spacing w:before="200"/>
                    <w:pStyle w:val="ImageCaption"/>
                  </w:pPr>
                  <w:r>
                    <w:t xml:space="preserve">(b) Destiny of slope coefficients by training group</w:t>
                  </w:r>
                </w:p>
                <w:bookmarkEnd w:id="123"/>
              </w:tc>
            </w:tr>
          </w:tbl>
          <w:p/>
        </w:tc>
      </w:tr>
    </w:tbl>
    <w:p>
      <w:pPr>
        <w:pStyle w:val="BodyText"/>
      </w:pPr>
      <w:pPr>
        <w:spacing w:before="200"/>
        <w:pStyle w:val="ImageCaption"/>
      </w:pPr>
      <w:r>
        <w:t xml:space="preserve">Figure 15: Slope distributions between condition</w:t>
      </w:r>
    </w:p>
    <w:bookmarkEnd w:id="124"/>
    <w:tbl>
      <w:tblPr>
        <w:tblStyle w:val="Table"/>
        <w:tblW w:type="pct" w:w="5000"/>
        <w:tblLook w:firstRow="0" w:lastRow="0" w:firstColumn="0" w:lastColumn="0" w:noHBand="0" w:noVBand="0" w:val="0000"/>
        <w:jc w:val="start"/>
        <w:tblLayout w:type="fixed"/>
      </w:tblPr>
      <w:tblGrid>
        <w:gridCol w:w="7920"/>
      </w:tblGrid>
      <w:tr>
        <w:tc>
          <w:tcPr/>
          <w:bookmarkStart w:id="127" w:name="fig-e1-indv-slopes"/>
          <w:tbl>
            <w:tblPr>
              <w:tblStyle w:val="Table"/>
              <w:tblW w:type="pct" w:w="5000"/>
              <w:tblLook w:firstRow="0" w:lastRow="0" w:firstColumn="0" w:lastColumn="0" w:noHBand="0" w:noVBand="0" w:val="0000"/>
              <w:jc w:val="start"/>
              <w:tblLayout w:type="fixed"/>
            </w:tblPr>
            <w:tblGrid>
              <w:gridCol w:w="7920"/>
            </w:tblGrid>
            <w:tr>
              <w:tc>
                <w:tcPr/>
                <w:bookmarkStart w:id="125" w:name="fig-e1-indv-slopes-1"/>
                <w:p>
                  <w:pPr>
                    <w:pStyle w:val="Compact"/>
                    <w:jc w:val="center"/>
                    <w:jc w:val="center"/>
                  </w:pPr>
                </w:p>
                <w:p>
                  <w:pPr>
                    <w:jc w:val="center"/>
                    <w:jc w:val="center"/>
                  </w:pPr>
                  <w:pPr>
                    <w:jc w:val="start"/>
                    <w:spacing w:before="200"/>
                    <w:pStyle w:val="ImageCaption"/>
                  </w:pPr>
                  <w:r>
                    <w:t xml:space="preserve">(a) subset with largest slopes</w:t>
                  </w:r>
                </w:p>
                <w:bookmarkEnd w:id="125"/>
              </w:tc>
            </w:tr>
          </w:tbl>
          <w:tbl>
            <w:tblPr>
              <w:tblStyle w:val="Table"/>
              <w:tblW w:type="pct" w:w="5000"/>
              <w:tblLook w:firstRow="0" w:lastRow="0" w:firstColumn="0" w:lastColumn="0" w:noHBand="0" w:noVBand="0" w:val="0000"/>
              <w:jc w:val="start"/>
              <w:tblLayout w:type="fixed"/>
            </w:tblPr>
            <w:tblGrid>
              <w:gridCol w:w="7920"/>
            </w:tblGrid>
            <w:tr>
              <w:tc>
                <w:tcPr/>
                <w:bookmarkStart w:id="126" w:name="fig-e1-indv-slopes-2"/>
                <w:p>
                  <w:pPr>
                    <w:pStyle w:val="Compact"/>
                    <w:jc w:val="center"/>
                    <w:jc w:val="center"/>
                  </w:pPr>
                </w:p>
                <w:p>
                  <w:pPr>
                    <w:jc w:val="center"/>
                    <w:jc w:val="center"/>
                  </w:pPr>
                  <w:pPr>
                    <w:jc w:val="start"/>
                    <w:spacing w:before="200"/>
                    <w:pStyle w:val="ImageCaption"/>
                  </w:pPr>
                  <w:r>
                    <w:t xml:space="preserve">(b) subset with smallest slopes</w:t>
                  </w:r>
                </w:p>
                <w:bookmarkEnd w:id="126"/>
              </w:tc>
            </w:tr>
          </w:tbl>
          <w:p>
            <w:pPr>
              <w:jc w:val="center"/>
            </w:pPr>
            <w:pPr>
              <w:jc w:val="start"/>
              <w:spacing w:before="200"/>
              <w:pStyle w:val="ImageCaption"/>
            </w:pPr>
            <w:r>
              <w:t xml:space="preserve">Figure 16: Subset of Varied and Constant Participants with the smallest and largest estimated slope values. Red lines represent the best fitting line for each participant, gray lines are 200 random samples from the posterior distribution. Black points and intervals at each band represent the estimated median and 95% HDI. Blue points are empirical means.</w:t>
            </w:r>
          </w:p>
          <w:bookmarkEnd w:id="127"/>
        </w:tc>
      </w:tr>
    </w:tbl>
    <w:bookmarkEnd w:id="128"/>
    <w:bookmarkEnd w:id="129"/>
    <w:bookmarkEnd w:id="130"/>
    <w:bookmarkEnd w:id="131"/>
    <w:bookmarkStart w:id="155" w:name="experiment-2-1"/>
    <w:p>
      <w:pPr>
        <w:pStyle w:val="Heading1"/>
      </w:pPr>
      <w:r>
        <w:t xml:space="preserve">Experiment 2</w:t>
      </w:r>
    </w:p>
    <w:p>
      <w:pPr>
        <w:pStyle w:val="FirstParagraph"/>
      </w:pPr>
      <w:hyperlink w:anchor="fig-design-e2">
        <w:r>
          <w:rPr>
            <w:rStyle w:val="Hyperlink"/>
          </w:rPr>
          <w:t xml:space="preserve">Figure 17</w:t>
        </w:r>
      </w:hyperlink>
      <w:r>
        <w:t xml:space="preserve"> </w:t>
      </w:r>
      <w:r>
        <w:t xml:space="preserve">illustrates the design of Experiment 2. The stages of the experiment (i.e. training, testing no-feedback, test with feedback), are identical to that of Experiment 1. The only change is that Experiment 2 participants train, and then test, on bands in the reverse order of Experiment 1 (i.e. training on the softer bands; and testing on the harder bands).</w:t>
      </w:r>
    </w:p>
    <w:tbl>
      <w:tblPr>
        <w:tblStyle w:val="Table"/>
        <w:tblW w:type="pct" w:w="5000"/>
        <w:tblLook w:firstRow="0" w:lastRow="0" w:firstColumn="0" w:lastColumn="0" w:noHBand="0" w:noVBand="0" w:val="0000"/>
        <w:jc w:val="start"/>
        <w:tblLayout w:type="fixed"/>
      </w:tblPr>
      <w:tblGrid>
        <w:gridCol w:w="7920"/>
      </w:tblGrid>
      <w:tr>
        <w:tc>
          <w:tcPr/>
          <w:bookmarkStart w:id="135" w:name="fig-design-e2"/>
          <w:p>
            <w:pPr>
              <w:jc w:val="center"/>
            </w:pPr>
            <w:r>
              <w:drawing>
                <wp:inline>
                  <wp:extent cx="5334000" cy="2222500"/>
                  <wp:effectExtent b="0" l="0" r="0" t="0"/>
                  <wp:docPr descr="" title="" id="133" name="Picture"/>
                  <a:graphic>
                    <a:graphicData uri="http://schemas.openxmlformats.org/drawingml/2006/picture">
                      <pic:pic>
                        <pic:nvPicPr>
                          <pic:cNvPr descr="manuscript_files/figure-docx/dot-figure-2.png" id="134" name="Picture"/>
                          <pic:cNvPicPr>
                            <a:picLocks noChangeArrowheads="1" noChangeAspect="1"/>
                          </pic:cNvPicPr>
                        </pic:nvPicPr>
                        <pic:blipFill>
                          <a:blip r:embed="rId132"/>
                          <a:stretch>
                            <a:fillRect/>
                          </a:stretch>
                        </pic:blipFill>
                        <pic:spPr bwMode="auto">
                          <a:xfrm>
                            <a:off x="0" y="0"/>
                            <a:ext cx="5334000" cy="2222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Experiment 2 Design. Constant and Varied participants complete different training conditions. The training and testing bands are the reverse of Experiment 1.</w:t>
            </w:r>
          </w:p>
          <w:bookmarkEnd w:id="135"/>
        </w:tc>
      </w:tr>
    </w:tbl>
    <w:bookmarkStart w:id="154" w:name="e2-results"/>
    <w:p>
      <w:pPr>
        <w:pStyle w:val="Heading2"/>
      </w:pPr>
      <w:r>
        <w:t xml:space="preserve">E2 Results</w:t>
      </w:r>
    </w:p>
    <w:bookmarkStart w:id="153" w:name="testing-phase---no-feedback.-1"/>
    <w:p>
      <w:pPr>
        <w:pStyle w:val="Heading3"/>
      </w:pPr>
      <w:r>
        <w:t xml:space="preserve">Testing Phase - No feedback.</w:t>
      </w:r>
    </w:p>
    <w:p>
      <w:pPr>
        <w:pStyle w:val="FirstParagraph"/>
      </w:pPr>
      <w:r>
        <w:t xml:space="preserve">In the first part of the testing phase, participants are tested from each of the velocity bands, and receive no feedback after each throw.</w:t>
      </w:r>
    </w:p>
    <w:bookmarkStart w:id="143" w:name="deviation-from-target-band-1"/>
    <w:p>
      <w:pPr>
        <w:pStyle w:val="Heading4"/>
      </w:pPr>
      <w:r>
        <w:t xml:space="preserve">Deviation From Target Band</w:t>
      </w:r>
    </w:p>
    <w:p>
      <w:pPr>
        <w:pStyle w:val="FirstParagraph"/>
      </w:pPr>
      <w:r>
        <w:t xml:space="preserve">Descriptive summaries testing deviation data are provided in</w:t>
      </w:r>
      <w:r>
        <w:t xml:space="preserve"> </w:t>
      </w:r>
      <w:hyperlink w:anchor="tbl-e2-test-nf-deviation">
        <w:r>
          <w:rPr>
            <w:rStyle w:val="Hyperlink"/>
          </w:rPr>
          <w:t xml:space="preserve">Table 9</w:t>
        </w:r>
      </w:hyperlink>
      <w:r>
        <w:t xml:space="preserve"> </w:t>
      </w:r>
      <w:r>
        <w:t xml:space="preserve">and</w:t>
      </w:r>
      <w:r>
        <w:t xml:space="preserve"> </w:t>
      </w:r>
      <w:hyperlink w:anchor="fig-e2-test-dev">
        <w:r>
          <w:rPr>
            <w:rStyle w:val="Hyperlink"/>
          </w:rPr>
          <w:t xml:space="preserve">Figure 18</w:t>
        </w:r>
      </w:hyperlink>
      <w:r>
        <w:t xml:space="preserve">.</w:t>
      </w:r>
      <w:r>
        <w:t xml:space="preserve"> </w:t>
      </w:r>
      <w:r>
        <w:t xml:space="preserve">To model differences in accuracy between groups, we used Bayesian mixed effects regression models to the trial level data from the testing phase. The primary model predicted the absolute deviation from the target velocity band (dist) as a function of training condition (condit), target velocity band (band), and their interaction, with random intercepts and slopes for each participant (id).</w:t>
      </w:r>
    </w:p>
    <w:p>
      <w:pPr>
        <w:pStyle w:val="BodyText"/>
      </w:pPr>
    </w:p>
    <w:tbl>
      <w:tblPr>
        <w:tblStyle w:val="Table"/>
        <w:tblW w:type="pct" w:w="5000"/>
        <w:tblLook w:firstRow="0" w:lastRow="0" w:firstColumn="0" w:lastColumn="0" w:noHBand="0" w:noVBand="0" w:val="0000"/>
        <w:jc w:val="start"/>
        <w:tblLayout w:type="fixed"/>
      </w:tblPr>
      <w:tblGrid>
        <w:gridCol w:w="7920"/>
      </w:tblGrid>
      <w:tr>
        <w:tc>
          <w:tcPr/>
          <w:bookmarkStart w:id="140" w:name="tbl-e2-test-nf-deviation"/>
          <w:p>
            <w:pPr>
              <w:jc w:val="center"/>
            </w:pPr>
            <w:pPr>
              <w:jc w:val="start"/>
              <w:spacing w:before="200"/>
              <w:pStyle w:val="ImageCaption"/>
            </w:pPr>
            <w:r>
              <w:t xml:space="preserve">Table 9: Testing Deviation - Empirical Summary</w:t>
            </w:r>
          </w:p>
          <w:tbl>
            <w:tblPr>
              <w:tblStyle w:val="Table"/>
              <w:tblW w:type="pct" w:w="5000"/>
              <w:tblLook w:firstRow="0" w:lastRow="0" w:firstColumn="0" w:lastColumn="0" w:noHBand="0" w:noVBand="0" w:val="0000"/>
              <w:jc w:val="start"/>
              <w:tblLayout w:type="fixed"/>
            </w:tblPr>
            <w:tblGrid>
              <w:gridCol w:w="7920"/>
            </w:tblGrid>
            <w:tr>
              <w:tc>
                <w:tcPr/>
                <w:bookmarkStart w:id="137" w:name="tbl-e2-test-nf-deviation-1"/>
                <w:p>
                  <w:pPr>
                    <w:jc w:val="center"/>
                    <w:jc w:val="center"/>
                  </w:pPr>
                  <w:pPr>
                    <w:jc w:val="start"/>
                    <w:spacing w:before="200"/>
                    <w:pStyle w:val="ImageCaption"/>
                  </w:pPr>
                  <w:r>
                    <w:t xml:space="preserve">(a) Constant Testing - Deviation</w:t>
                  </w:r>
                </w:p>
                <w:bookmarkStart w:id="136" w:name="tbl-e2-test-nf-deviation-1"/>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Band</w:t>
                        </w:r>
                      </w:p>
                    </w:tc>
                    <w:tc>
                      <w:tcPr/>
                      <w:p>
                        <w:pPr>
                          <w:pStyle w:val="Compact"/>
                          <w:jc w:val="left"/>
                          <w:jc w:val="center"/>
                          <w:jc w:val="center"/>
                        </w:pPr>
                        <w:r>
                          <w:t xml:space="preserve">Band Type</w:t>
                        </w:r>
                      </w:p>
                    </w:tc>
                    <w:tc>
                      <w:tcPr/>
                      <w:p>
                        <w:pPr>
                          <w:pStyle w:val="Compact"/>
                          <w:jc w:val="right"/>
                          <w:jc w:val="center"/>
                          <w:jc w:val="center"/>
                        </w:pPr>
                        <w:r>
                          <w:t xml:space="preserve">Mean</w:t>
                        </w:r>
                      </w:p>
                    </w:tc>
                    <w:tc>
                      <w:tcPr/>
                      <w:p>
                        <w:pPr>
                          <w:pStyle w:val="Compact"/>
                          <w:jc w:val="right"/>
                          <w:jc w:val="center"/>
                          <w:jc w:val="center"/>
                        </w:pPr>
                        <w:r>
                          <w:t xml:space="preserve">Median</w:t>
                        </w:r>
                      </w:p>
                    </w:tc>
                    <w:tc>
                      <w:tcPr/>
                      <w:p>
                        <w:pPr>
                          <w:pStyle w:val="Compact"/>
                          <w:jc w:val="right"/>
                          <w:jc w:val="center"/>
                          <w:jc w:val="center"/>
                        </w:pPr>
                        <w:r>
                          <w:t xml:space="preserve">Sd</w:t>
                        </w:r>
                      </w:p>
                    </w:tc>
                  </w:tr>
                  <w:tr>
                    <w:tc>
                      <w:tcPr/>
                      <w:p>
                        <w:pPr>
                          <w:pStyle w:val="Compact"/>
                          <w:jc w:val="left"/>
                          <w:jc w:val="center"/>
                          <w:jc w:val="center"/>
                        </w:pPr>
                        <w:r>
                          <w:t xml:space="preserve">100-300</w:t>
                        </w:r>
                      </w:p>
                    </w:tc>
                    <w:tc>
                      <w:tcPr/>
                      <w:p>
                        <w:pPr>
                          <w:pStyle w:val="Compact"/>
                          <w:jc w:val="left"/>
                          <w:jc w:val="center"/>
                          <w:jc w:val="center"/>
                        </w:pPr>
                        <w:r>
                          <w:t xml:space="preserve">Extrapolation</w:t>
                        </w:r>
                      </w:p>
                    </w:tc>
                    <w:tc>
                      <w:tcPr/>
                      <w:p>
                        <w:pPr>
                          <w:pStyle w:val="Compact"/>
                          <w:jc w:val="right"/>
                          <w:jc w:val="center"/>
                          <w:jc w:val="center"/>
                        </w:pPr>
                        <w:r>
                          <w:t xml:space="preserve">206</w:t>
                        </w:r>
                      </w:p>
                    </w:tc>
                    <w:tc>
                      <w:tcPr/>
                      <w:p>
                        <w:pPr>
                          <w:pStyle w:val="Compact"/>
                          <w:jc w:val="right"/>
                          <w:jc w:val="center"/>
                          <w:jc w:val="center"/>
                        </w:pPr>
                        <w:r>
                          <w:t xml:space="preserve">48</w:t>
                        </w:r>
                      </w:p>
                    </w:tc>
                    <w:tc>
                      <w:tcPr/>
                      <w:p>
                        <w:pPr>
                          <w:pStyle w:val="Compact"/>
                          <w:jc w:val="right"/>
                          <w:jc w:val="center"/>
                          <w:jc w:val="center"/>
                        </w:pPr>
                        <w:r>
                          <w:t xml:space="preserve">317</w:t>
                        </w:r>
                      </w:p>
                    </w:tc>
                  </w:tr>
                  <w:tr>
                    <w:tc>
                      <w:tcPr/>
                      <w:p>
                        <w:pPr>
                          <w:pStyle w:val="Compact"/>
                          <w:jc w:val="left"/>
                          <w:jc w:val="center"/>
                          <w:jc w:val="center"/>
                        </w:pPr>
                        <w:r>
                          <w:t xml:space="preserve">350-550</w:t>
                        </w:r>
                      </w:p>
                    </w:tc>
                    <w:tc>
                      <w:tcPr/>
                      <w:p>
                        <w:pPr>
                          <w:pStyle w:val="Compact"/>
                          <w:jc w:val="left"/>
                          <w:jc w:val="center"/>
                          <w:jc w:val="center"/>
                        </w:pPr>
                        <w:r>
                          <w:t xml:space="preserve">Extrapolation</w:t>
                        </w:r>
                      </w:p>
                    </w:tc>
                    <w:tc>
                      <w:tcPr/>
                      <w:p>
                        <w:pPr>
                          <w:pStyle w:val="Compact"/>
                          <w:jc w:val="right"/>
                          <w:jc w:val="center"/>
                          <w:jc w:val="center"/>
                        </w:pPr>
                        <w:r>
                          <w:t xml:space="preserve">194</w:t>
                        </w:r>
                      </w:p>
                    </w:tc>
                    <w:tc>
                      <w:tcPr/>
                      <w:p>
                        <w:pPr>
                          <w:pStyle w:val="Compact"/>
                          <w:jc w:val="right"/>
                          <w:jc w:val="center"/>
                          <w:jc w:val="center"/>
                        </w:pPr>
                        <w:r>
                          <w:t xml:space="preserve">86</w:t>
                        </w:r>
                      </w:p>
                    </w:tc>
                    <w:tc>
                      <w:tcPr/>
                      <w:p>
                        <w:pPr>
                          <w:pStyle w:val="Compact"/>
                          <w:jc w:val="right"/>
                          <w:jc w:val="center"/>
                          <w:jc w:val="center"/>
                        </w:pPr>
                        <w:r>
                          <w:t xml:space="preserve">268</w:t>
                        </w:r>
                      </w:p>
                    </w:tc>
                  </w:tr>
                  <w:tr>
                    <w:tc>
                      <w:tcPr/>
                      <w:p>
                        <w:pPr>
                          <w:pStyle w:val="Compact"/>
                          <w:jc w:val="left"/>
                          <w:jc w:val="center"/>
                          <w:jc w:val="center"/>
                        </w:pPr>
                        <w:r>
                          <w:t xml:space="preserve">600-800</w:t>
                        </w:r>
                      </w:p>
                    </w:tc>
                    <w:tc>
                      <w:tcPr/>
                      <w:p>
                        <w:pPr>
                          <w:pStyle w:val="Compact"/>
                          <w:jc w:val="left"/>
                          <w:jc w:val="center"/>
                          <w:jc w:val="center"/>
                        </w:pPr>
                        <w:r>
                          <w:t xml:space="preserve">Trained</w:t>
                        </w:r>
                      </w:p>
                    </w:tc>
                    <w:tc>
                      <w:tcPr/>
                      <w:p>
                        <w:pPr>
                          <w:pStyle w:val="Compact"/>
                          <w:jc w:val="right"/>
                          <w:jc w:val="center"/>
                          <w:jc w:val="center"/>
                        </w:pPr>
                        <w:r>
                          <w:t xml:space="preserve">182</w:t>
                        </w:r>
                      </w:p>
                    </w:tc>
                    <w:tc>
                      <w:tcPr/>
                      <w:p>
                        <w:pPr>
                          <w:pStyle w:val="Compact"/>
                          <w:jc w:val="right"/>
                          <w:jc w:val="center"/>
                          <w:jc w:val="center"/>
                        </w:pPr>
                        <w:r>
                          <w:t xml:space="preserve">112</w:t>
                        </w:r>
                      </w:p>
                    </w:tc>
                    <w:tc>
                      <w:tcPr/>
                      <w:p>
                        <w:pPr>
                          <w:pStyle w:val="Compact"/>
                          <w:jc w:val="right"/>
                          <w:jc w:val="center"/>
                          <w:jc w:val="center"/>
                        </w:pPr>
                        <w:r>
                          <w:t xml:space="preserve">240</w:t>
                        </w:r>
                      </w:p>
                    </w:tc>
                  </w:tr>
                  <w:tr>
                    <w:tc>
                      <w:tcPr/>
                      <w:p>
                        <w:pPr>
                          <w:pStyle w:val="Compact"/>
                          <w:jc w:val="left"/>
                          <w:jc w:val="center"/>
                          <w:jc w:val="center"/>
                        </w:pPr>
                        <w:r>
                          <w:t xml:space="preserve">800-1000</w:t>
                        </w:r>
                      </w:p>
                    </w:tc>
                    <w:tc>
                      <w:tcPr/>
                      <w:p>
                        <w:pPr>
                          <w:pStyle w:val="Compact"/>
                          <w:jc w:val="left"/>
                          <w:jc w:val="center"/>
                          <w:jc w:val="center"/>
                        </w:pPr>
                        <w:r>
                          <w:t xml:space="preserve">Extrapolation</w:t>
                        </w:r>
                      </w:p>
                    </w:tc>
                    <w:tc>
                      <w:tcPr/>
                      <w:p>
                        <w:pPr>
                          <w:pStyle w:val="Compact"/>
                          <w:jc w:val="right"/>
                          <w:jc w:val="center"/>
                          <w:jc w:val="center"/>
                        </w:pPr>
                        <w:r>
                          <w:t xml:space="preserve">200</w:t>
                        </w:r>
                      </w:p>
                    </w:tc>
                    <w:tc>
                      <w:tcPr/>
                      <w:p>
                        <w:pPr>
                          <w:pStyle w:val="Compact"/>
                          <w:jc w:val="right"/>
                          <w:jc w:val="center"/>
                          <w:jc w:val="center"/>
                        </w:pPr>
                        <w:r>
                          <w:t xml:space="preserve">129</w:t>
                        </w:r>
                      </w:p>
                    </w:tc>
                    <w:tc>
                      <w:tcPr/>
                      <w:p>
                        <w:pPr>
                          <w:pStyle w:val="Compact"/>
                          <w:jc w:val="right"/>
                          <w:jc w:val="center"/>
                          <w:jc w:val="center"/>
                        </w:pPr>
                        <w:r>
                          <w:t xml:space="preserve">233</w:t>
                        </w:r>
                      </w:p>
                    </w:tc>
                  </w:tr>
                  <w:tr>
                    <w:tc>
                      <w:tcPr/>
                      <w:p>
                        <w:pPr>
                          <w:pStyle w:val="Compact"/>
                          <w:jc w:val="left"/>
                          <w:jc w:val="center"/>
                          <w:jc w:val="center"/>
                        </w:pPr>
                        <w:r>
                          <w:t xml:space="preserve">1000-1200</w:t>
                        </w:r>
                      </w:p>
                    </w:tc>
                    <w:tc>
                      <w:tcPr/>
                      <w:p>
                        <w:pPr>
                          <w:pStyle w:val="Compact"/>
                          <w:jc w:val="left"/>
                          <w:jc w:val="center"/>
                          <w:jc w:val="center"/>
                        </w:pPr>
                        <w:r>
                          <w:t xml:space="preserve">Extrapolation</w:t>
                        </w:r>
                      </w:p>
                    </w:tc>
                    <w:tc>
                      <w:tcPr/>
                      <w:p>
                        <w:pPr>
                          <w:pStyle w:val="Compact"/>
                          <w:jc w:val="right"/>
                          <w:jc w:val="center"/>
                          <w:jc w:val="center"/>
                        </w:pPr>
                        <w:r>
                          <w:t xml:space="preserve">238</w:t>
                        </w:r>
                      </w:p>
                    </w:tc>
                    <w:tc>
                      <w:tcPr/>
                      <w:p>
                        <w:pPr>
                          <w:pStyle w:val="Compact"/>
                          <w:jc w:val="right"/>
                          <w:jc w:val="center"/>
                          <w:jc w:val="center"/>
                        </w:pPr>
                        <w:r>
                          <w:t xml:space="preserve">190</w:t>
                        </w:r>
                      </w:p>
                    </w:tc>
                    <w:tc>
                      <w:tcPr/>
                      <w:p>
                        <w:pPr>
                          <w:pStyle w:val="Compact"/>
                          <w:jc w:val="right"/>
                          <w:jc w:val="center"/>
                          <w:jc w:val="center"/>
                        </w:pPr>
                        <w:r>
                          <w:t xml:space="preserve">234</w:t>
                        </w:r>
                      </w:p>
                    </w:tc>
                  </w:tr>
                  <w:tr>
                    <w:tc>
                      <w:tcPr/>
                      <w:p>
                        <w:pPr>
                          <w:pStyle w:val="Compact"/>
                          <w:jc w:val="left"/>
                          <w:jc w:val="center"/>
                          <w:jc w:val="center"/>
                        </w:pPr>
                        <w:r>
                          <w:t xml:space="preserve">1200-1400</w:t>
                        </w:r>
                      </w:p>
                    </w:tc>
                    <w:tc>
                      <w:tcPr/>
                      <w:p>
                        <w:pPr>
                          <w:pStyle w:val="Compact"/>
                          <w:jc w:val="left"/>
                          <w:jc w:val="center"/>
                          <w:jc w:val="center"/>
                        </w:pPr>
                        <w:r>
                          <w:t xml:space="preserve">Extrapolation</w:t>
                        </w:r>
                      </w:p>
                    </w:tc>
                    <w:tc>
                      <w:tcPr/>
                      <w:p>
                        <w:pPr>
                          <w:pStyle w:val="Compact"/>
                          <w:jc w:val="right"/>
                          <w:jc w:val="center"/>
                          <w:jc w:val="center"/>
                        </w:pPr>
                        <w:r>
                          <w:t xml:space="preserve">311</w:t>
                        </w:r>
                      </w:p>
                    </w:tc>
                    <w:tc>
                      <w:tcPr/>
                      <w:p>
                        <w:pPr>
                          <w:pStyle w:val="Compact"/>
                          <w:jc w:val="right"/>
                          <w:jc w:val="center"/>
                          <w:jc w:val="center"/>
                        </w:pPr>
                        <w:r>
                          <w:t xml:space="preserve">254</w:t>
                        </w:r>
                      </w:p>
                    </w:tc>
                    <w:tc>
                      <w:tcPr/>
                      <w:p>
                        <w:pPr>
                          <w:pStyle w:val="Compact"/>
                          <w:jc w:val="right"/>
                          <w:jc w:val="center"/>
                          <w:jc w:val="center"/>
                        </w:pPr>
                        <w:r>
                          <w:t xml:space="preserve">288</w:t>
                        </w:r>
                      </w:p>
                    </w:tc>
                  </w:tr>
                </w:tbl>
                <w:bookmarkEnd w:id="136"/>
                <w:bookmarkEnd w:id="137"/>
                <w:p/>
              </w:tc>
            </w:tr>
          </w:tbl>
          <w:tbl>
            <w:tblPr>
              <w:tblStyle w:val="Table"/>
              <w:tblW w:type="pct" w:w="5000"/>
              <w:tblLook w:firstRow="0" w:lastRow="0" w:firstColumn="0" w:lastColumn="0" w:noHBand="0" w:noVBand="0" w:val="0000"/>
              <w:jc w:val="start"/>
              <w:tblLayout w:type="fixed"/>
            </w:tblPr>
            <w:tblGrid>
              <w:gridCol w:w="7920"/>
            </w:tblGrid>
            <w:tr>
              <w:tc>
                <w:tcPr/>
                <w:bookmarkStart w:id="139" w:name="tbl-e2-test-nf-deviation-2"/>
                <w:p>
                  <w:pPr>
                    <w:jc w:val="center"/>
                    <w:jc w:val="center"/>
                  </w:pPr>
                  <w:pPr>
                    <w:jc w:val="start"/>
                    <w:spacing w:before="200"/>
                    <w:pStyle w:val="ImageCaption"/>
                  </w:pPr>
                  <w:r>
                    <w:t xml:space="preserve">(b) Varied Testing - Deviation</w:t>
                  </w:r>
                </w:p>
                <w:bookmarkStart w:id="138" w:name="tbl-e2-test-nf-deviation-2"/>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Band</w:t>
                        </w:r>
                      </w:p>
                    </w:tc>
                    <w:tc>
                      <w:tcPr/>
                      <w:p>
                        <w:pPr>
                          <w:pStyle w:val="Compact"/>
                          <w:jc w:val="left"/>
                          <w:jc w:val="center"/>
                          <w:jc w:val="center"/>
                        </w:pPr>
                        <w:r>
                          <w:t xml:space="preserve">Band Type</w:t>
                        </w:r>
                      </w:p>
                    </w:tc>
                    <w:tc>
                      <w:tcPr/>
                      <w:p>
                        <w:pPr>
                          <w:pStyle w:val="Compact"/>
                          <w:jc w:val="right"/>
                          <w:jc w:val="center"/>
                          <w:jc w:val="center"/>
                        </w:pPr>
                        <w:r>
                          <w:t xml:space="preserve">Mean</w:t>
                        </w:r>
                      </w:p>
                    </w:tc>
                    <w:tc>
                      <w:tcPr/>
                      <w:p>
                        <w:pPr>
                          <w:pStyle w:val="Compact"/>
                          <w:jc w:val="right"/>
                          <w:jc w:val="center"/>
                          <w:jc w:val="center"/>
                        </w:pPr>
                        <w:r>
                          <w:t xml:space="preserve">Median</w:t>
                        </w:r>
                      </w:p>
                    </w:tc>
                    <w:tc>
                      <w:tcPr/>
                      <w:p>
                        <w:pPr>
                          <w:pStyle w:val="Compact"/>
                          <w:jc w:val="right"/>
                          <w:jc w:val="center"/>
                          <w:jc w:val="center"/>
                        </w:pPr>
                        <w:r>
                          <w:t xml:space="preserve">Sd</w:t>
                        </w:r>
                      </w:p>
                    </w:tc>
                  </w:tr>
                  <w:tr>
                    <w:tc>
                      <w:tcPr/>
                      <w:p>
                        <w:pPr>
                          <w:pStyle w:val="Compact"/>
                          <w:jc w:val="left"/>
                          <w:jc w:val="center"/>
                          <w:jc w:val="center"/>
                        </w:pPr>
                        <w:r>
                          <w:t xml:space="preserve">100-300</w:t>
                        </w:r>
                      </w:p>
                    </w:tc>
                    <w:tc>
                      <w:tcPr/>
                      <w:p>
                        <w:pPr>
                          <w:pStyle w:val="Compact"/>
                          <w:jc w:val="left"/>
                          <w:jc w:val="center"/>
                          <w:jc w:val="center"/>
                        </w:pPr>
                        <w:r>
                          <w:t xml:space="preserve">Trained</w:t>
                        </w:r>
                      </w:p>
                    </w:tc>
                    <w:tc>
                      <w:tcPr/>
                      <w:p>
                        <w:pPr>
                          <w:pStyle w:val="Compact"/>
                          <w:jc w:val="right"/>
                          <w:jc w:val="center"/>
                          <w:jc w:val="center"/>
                        </w:pPr>
                        <w:r>
                          <w:t xml:space="preserve">153</w:t>
                        </w:r>
                      </w:p>
                    </w:tc>
                    <w:tc>
                      <w:tcPr/>
                      <w:p>
                        <w:pPr>
                          <w:pStyle w:val="Compact"/>
                          <w:jc w:val="right"/>
                          <w:jc w:val="center"/>
                          <w:jc w:val="center"/>
                        </w:pPr>
                        <w:r>
                          <w:t xml:space="preserve">25</w:t>
                        </w:r>
                      </w:p>
                    </w:tc>
                    <w:tc>
                      <w:tcPr/>
                      <w:p>
                        <w:pPr>
                          <w:pStyle w:val="Compact"/>
                          <w:jc w:val="right"/>
                          <w:jc w:val="center"/>
                          <w:jc w:val="center"/>
                        </w:pPr>
                        <w:r>
                          <w:t xml:space="preserve">266</w:t>
                        </w:r>
                      </w:p>
                    </w:tc>
                  </w:tr>
                  <w:tr>
                    <w:tc>
                      <w:tcPr/>
                      <w:p>
                        <w:pPr>
                          <w:pStyle w:val="Compact"/>
                          <w:jc w:val="left"/>
                          <w:jc w:val="center"/>
                          <w:jc w:val="center"/>
                        </w:pPr>
                        <w:r>
                          <w:t xml:space="preserve">350-550</w:t>
                        </w:r>
                      </w:p>
                    </w:tc>
                    <w:tc>
                      <w:tcPr/>
                      <w:p>
                        <w:pPr>
                          <w:pStyle w:val="Compact"/>
                          <w:jc w:val="left"/>
                          <w:jc w:val="center"/>
                          <w:jc w:val="center"/>
                        </w:pPr>
                        <w:r>
                          <w:t xml:space="preserve">Trained</w:t>
                        </w:r>
                      </w:p>
                    </w:tc>
                    <w:tc>
                      <w:tcPr/>
                      <w:p>
                        <w:pPr>
                          <w:pStyle w:val="Compact"/>
                          <w:jc w:val="right"/>
                          <w:jc w:val="center"/>
                          <w:jc w:val="center"/>
                        </w:pPr>
                        <w:r>
                          <w:t xml:space="preserve">138</w:t>
                        </w:r>
                      </w:p>
                    </w:tc>
                    <w:tc>
                      <w:tcPr/>
                      <w:p>
                        <w:pPr>
                          <w:pStyle w:val="Compact"/>
                          <w:jc w:val="right"/>
                          <w:jc w:val="center"/>
                          <w:jc w:val="center"/>
                        </w:pPr>
                        <w:r>
                          <w:t xml:space="preserve">53</w:t>
                        </w:r>
                      </w:p>
                    </w:tc>
                    <w:tc>
                      <w:tcPr/>
                      <w:p>
                        <w:pPr>
                          <w:pStyle w:val="Compact"/>
                          <w:jc w:val="right"/>
                          <w:jc w:val="center"/>
                          <w:jc w:val="center"/>
                        </w:pPr>
                        <w:r>
                          <w:t xml:space="preserve">233</w:t>
                        </w:r>
                      </w:p>
                    </w:tc>
                  </w:tr>
                  <w:tr>
                    <w:tc>
                      <w:tcPr/>
                      <w:p>
                        <w:pPr>
                          <w:pStyle w:val="Compact"/>
                          <w:jc w:val="left"/>
                          <w:jc w:val="center"/>
                          <w:jc w:val="center"/>
                        </w:pPr>
                        <w:r>
                          <w:t xml:space="preserve">600-800</w:t>
                        </w:r>
                      </w:p>
                    </w:tc>
                    <w:tc>
                      <w:tcPr/>
                      <w:p>
                        <w:pPr>
                          <w:pStyle w:val="Compact"/>
                          <w:jc w:val="left"/>
                          <w:jc w:val="center"/>
                          <w:jc w:val="center"/>
                        </w:pPr>
                        <w:r>
                          <w:t xml:space="preserve">Trained</w:t>
                        </w:r>
                      </w:p>
                    </w:tc>
                    <w:tc>
                      <w:tcPr/>
                      <w:p>
                        <w:pPr>
                          <w:pStyle w:val="Compact"/>
                          <w:jc w:val="right"/>
                          <w:jc w:val="center"/>
                          <w:jc w:val="center"/>
                        </w:pPr>
                        <w:r>
                          <w:t xml:space="preserve">160</w:t>
                        </w:r>
                      </w:p>
                    </w:tc>
                    <w:tc>
                      <w:tcPr/>
                      <w:p>
                        <w:pPr>
                          <w:pStyle w:val="Compact"/>
                          <w:jc w:val="right"/>
                          <w:jc w:val="center"/>
                          <w:jc w:val="center"/>
                        </w:pPr>
                        <w:r>
                          <w:t xml:space="preserve">120</w:t>
                        </w:r>
                      </w:p>
                    </w:tc>
                    <w:tc>
                      <w:tcPr/>
                      <w:p>
                        <w:pPr>
                          <w:pStyle w:val="Compact"/>
                          <w:jc w:val="right"/>
                          <w:jc w:val="center"/>
                          <w:jc w:val="center"/>
                        </w:pPr>
                        <w:r>
                          <w:t xml:space="preserve">183</w:t>
                        </w:r>
                      </w:p>
                    </w:tc>
                  </w:tr>
                  <w:tr>
                    <w:tc>
                      <w:tcPr/>
                      <w:p>
                        <w:pPr>
                          <w:pStyle w:val="Compact"/>
                          <w:jc w:val="left"/>
                          <w:jc w:val="center"/>
                          <w:jc w:val="center"/>
                        </w:pPr>
                        <w:r>
                          <w:t xml:space="preserve">800-1000</w:t>
                        </w:r>
                      </w:p>
                    </w:tc>
                    <w:tc>
                      <w:tcPr/>
                      <w:p>
                        <w:pPr>
                          <w:pStyle w:val="Compact"/>
                          <w:jc w:val="left"/>
                          <w:jc w:val="center"/>
                          <w:jc w:val="center"/>
                        </w:pPr>
                        <w:r>
                          <w:t xml:space="preserve">Extrapolation</w:t>
                        </w:r>
                      </w:p>
                    </w:tc>
                    <w:tc>
                      <w:tcPr/>
                      <w:p>
                        <w:pPr>
                          <w:pStyle w:val="Compact"/>
                          <w:jc w:val="right"/>
                          <w:jc w:val="center"/>
                          <w:jc w:val="center"/>
                        </w:pPr>
                        <w:r>
                          <w:t xml:space="preserve">261</w:t>
                        </w:r>
                      </w:p>
                    </w:tc>
                    <w:tc>
                      <w:tcPr/>
                      <w:p>
                        <w:pPr>
                          <w:pStyle w:val="Compact"/>
                          <w:jc w:val="right"/>
                          <w:jc w:val="center"/>
                          <w:jc w:val="center"/>
                        </w:pPr>
                        <w:r>
                          <w:t xml:space="preserve">207</w:t>
                        </w:r>
                      </w:p>
                    </w:tc>
                    <w:tc>
                      <w:tcPr/>
                      <w:p>
                        <w:pPr>
                          <w:pStyle w:val="Compact"/>
                          <w:jc w:val="right"/>
                          <w:jc w:val="center"/>
                          <w:jc w:val="center"/>
                        </w:pPr>
                        <w:r>
                          <w:t xml:space="preserve">257</w:t>
                        </w:r>
                      </w:p>
                    </w:tc>
                  </w:tr>
                  <w:tr>
                    <w:tc>
                      <w:tcPr/>
                      <w:p>
                        <w:pPr>
                          <w:pStyle w:val="Compact"/>
                          <w:jc w:val="left"/>
                          <w:jc w:val="center"/>
                          <w:jc w:val="center"/>
                        </w:pPr>
                        <w:r>
                          <w:t xml:space="preserve">1000-1200</w:t>
                        </w:r>
                      </w:p>
                    </w:tc>
                    <w:tc>
                      <w:tcPr/>
                      <w:p>
                        <w:pPr>
                          <w:pStyle w:val="Compact"/>
                          <w:jc w:val="left"/>
                          <w:jc w:val="center"/>
                          <w:jc w:val="center"/>
                        </w:pPr>
                        <w:r>
                          <w:t xml:space="preserve">Extrapolation</w:t>
                        </w:r>
                      </w:p>
                    </w:tc>
                    <w:tc>
                      <w:tcPr/>
                      <w:p>
                        <w:pPr>
                          <w:pStyle w:val="Compact"/>
                          <w:jc w:val="right"/>
                          <w:jc w:val="center"/>
                          <w:jc w:val="center"/>
                        </w:pPr>
                        <w:r>
                          <w:t xml:space="preserve">305</w:t>
                        </w:r>
                      </w:p>
                    </w:tc>
                    <w:tc>
                      <w:tcPr/>
                      <w:p>
                        <w:pPr>
                          <w:pStyle w:val="Compact"/>
                          <w:jc w:val="right"/>
                          <w:jc w:val="center"/>
                          <w:jc w:val="center"/>
                        </w:pPr>
                        <w:r>
                          <w:t xml:space="preserve">258</w:t>
                        </w:r>
                      </w:p>
                    </w:tc>
                    <w:tc>
                      <w:tcPr/>
                      <w:p>
                        <w:pPr>
                          <w:pStyle w:val="Compact"/>
                          <w:jc w:val="right"/>
                          <w:jc w:val="center"/>
                          <w:jc w:val="center"/>
                        </w:pPr>
                        <w:r>
                          <w:t xml:space="preserve">273</w:t>
                        </w:r>
                      </w:p>
                    </w:tc>
                  </w:tr>
                  <w:tr>
                    <w:tc>
                      <w:tcPr/>
                      <w:p>
                        <w:pPr>
                          <w:pStyle w:val="Compact"/>
                          <w:jc w:val="left"/>
                          <w:jc w:val="center"/>
                          <w:jc w:val="center"/>
                        </w:pPr>
                        <w:r>
                          <w:t xml:space="preserve">1200-1400</w:t>
                        </w:r>
                      </w:p>
                    </w:tc>
                    <w:tc>
                      <w:tcPr/>
                      <w:p>
                        <w:pPr>
                          <w:pStyle w:val="Compact"/>
                          <w:jc w:val="left"/>
                          <w:jc w:val="center"/>
                          <w:jc w:val="center"/>
                        </w:pPr>
                        <w:r>
                          <w:t xml:space="preserve">Extrapolation</w:t>
                        </w:r>
                      </w:p>
                    </w:tc>
                    <w:tc>
                      <w:tcPr/>
                      <w:p>
                        <w:pPr>
                          <w:pStyle w:val="Compact"/>
                          <w:jc w:val="right"/>
                          <w:jc w:val="center"/>
                          <w:jc w:val="center"/>
                        </w:pPr>
                        <w:r>
                          <w:t xml:space="preserve">363</w:t>
                        </w:r>
                      </w:p>
                    </w:tc>
                    <w:tc>
                      <w:tcPr/>
                      <w:p>
                        <w:pPr>
                          <w:pStyle w:val="Compact"/>
                          <w:jc w:val="right"/>
                          <w:jc w:val="center"/>
                          <w:jc w:val="center"/>
                        </w:pPr>
                        <w:r>
                          <w:t xml:space="preserve">314</w:t>
                        </w:r>
                      </w:p>
                    </w:tc>
                    <w:tc>
                      <w:tcPr/>
                      <w:p>
                        <w:pPr>
                          <w:pStyle w:val="Compact"/>
                          <w:jc w:val="right"/>
                          <w:jc w:val="center"/>
                          <w:jc w:val="center"/>
                        </w:pPr>
                        <w:r>
                          <w:t xml:space="preserve">297</w:t>
                        </w:r>
                      </w:p>
                    </w:tc>
                  </w:tr>
                </w:tbl>
                <w:bookmarkEnd w:id="138"/>
                <w:bookmarkEnd w:id="139"/>
                <w:p/>
              </w:tc>
            </w:tr>
          </w:tbl>
          <w:bookmarkEnd w:id="140"/>
          <w:p/>
        </w:tc>
      </w:tr>
    </w:tbl>
    <w:tbl>
      <w:tblPr>
        <w:tblStyle w:val="Table"/>
        <w:tblW w:type="pct" w:w="5000"/>
        <w:tblLook w:firstRow="0" w:lastRow="0" w:firstColumn="0" w:lastColumn="0" w:noHBand="0" w:noVBand="0" w:val="0000"/>
        <w:jc w:val="start"/>
        <w:tblLayout w:type="fixed"/>
      </w:tblPr>
      <w:tblGrid>
        <w:gridCol w:w="7920"/>
      </w:tblGrid>
      <w:tr>
        <w:tc>
          <w:tcPr/>
          <w:bookmarkStart w:id="141" w:name="fig-e2-test-dev"/>
          <w:p>
            <w:pPr>
              <w:pStyle w:val="Compact"/>
              <w:jc w:val="center"/>
            </w:pPr>
          </w:p>
          <w:p>
            <w:pPr>
              <w:jc w:val="center"/>
            </w:pPr>
            <w:pPr>
              <w:jc w:val="start"/>
              <w:spacing w:before="200"/>
              <w:pStyle w:val="ImageCaption"/>
            </w:pPr>
            <w:r>
              <w:t xml:space="preserve">Figure 18: E2. Deviations from target band during testing without feedback stage.</w:t>
            </w:r>
          </w:p>
          <w:bookmarkEnd w:id="141"/>
        </w:tc>
      </w:tr>
    </w:tbl>
    <w:tbl>
      <w:tblPr>
        <w:tblStyle w:val="Table"/>
        <w:tblW w:type="pct" w:w="5000"/>
        <w:tblLook w:firstRow="0" w:lastRow="0" w:firstColumn="0" w:lastColumn="0" w:noHBand="0" w:noVBand="0" w:val="0000"/>
        <w:jc w:val="start"/>
        <w:tblLayout w:type="fixed"/>
      </w:tblPr>
      <w:tblGrid>
        <w:gridCol w:w="7920"/>
      </w:tblGrid>
      <w:tr>
        <w:tc>
          <w:tcPr/>
          <w:bookmarkStart w:id="142" w:name="tbl-e2-bmm-dist"/>
          <w:p>
            <w:pPr>
              <w:jc w:val="center"/>
            </w:pPr>
            <w:pPr>
              <w:jc w:val="start"/>
              <w:spacing w:before="200"/>
              <w:pStyle w:val="ImageCaption"/>
            </w:pPr>
            <w:r>
              <w:t xml:space="preserve">Table 10: Experiment 2. Bayesian Mixed Model predicting absolute deviation as a function of condition (Constant vs. Varied) and Velocity Band</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151.71</w:t>
                  </w:r>
                </w:p>
              </w:tc>
              <w:tc>
                <w:tcPr/>
                <w:p>
                  <w:pPr>
                    <w:pStyle w:val="Compact"/>
                    <w:jc w:val="right"/>
                    <w:jc w:val="center"/>
                  </w:pPr>
                  <w:r>
                    <w:t xml:space="preserve">90.51</w:t>
                  </w:r>
                </w:p>
              </w:tc>
              <w:tc>
                <w:tcPr/>
                <w:p>
                  <w:pPr>
                    <w:pStyle w:val="Compact"/>
                    <w:jc w:val="right"/>
                    <w:jc w:val="center"/>
                  </w:pPr>
                  <w:r>
                    <w:t xml:space="preserve">215.86</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-70.33</w:t>
                  </w:r>
                </w:p>
              </w:tc>
              <w:tc>
                <w:tcPr/>
                <w:p>
                  <w:pPr>
                    <w:pStyle w:val="Compact"/>
                    <w:jc w:val="right"/>
                    <w:jc w:val="center"/>
                  </w:pPr>
                  <w:r>
                    <w:t xml:space="preserve">-156.87</w:t>
                  </w:r>
                </w:p>
              </w:tc>
              <w:tc>
                <w:tcPr/>
                <w:p>
                  <w:pPr>
                    <w:pStyle w:val="Compact"/>
                    <w:jc w:val="right"/>
                    <w:jc w:val="center"/>
                  </w:pPr>
                  <w:r>
                    <w:t xml:space="preserve">16.66</w:t>
                  </w:r>
                </w:p>
              </w:tc>
              <w:tc>
                <w:tcPr/>
                <w:p>
                  <w:pPr>
                    <w:pStyle w:val="Compact"/>
                    <w:jc w:val="right"/>
                    <w:jc w:val="center"/>
                  </w:pPr>
                  <w:r>
                    <w:t xml:space="preserve">0.94</w:t>
                  </w:r>
                </w:p>
              </w:tc>
            </w:tr>
            <w:tr>
              <w:tc>
                <w:tcPr/>
                <w:p>
                  <w:pPr>
                    <w:pStyle w:val="Compact"/>
                    <w:jc w:val="left"/>
                    <w:jc w:val="center"/>
                  </w:pPr>
                  <w:r>
                    <w:t xml:space="preserve">Band</w:t>
                  </w:r>
                </w:p>
              </w:tc>
              <w:tc>
                <w:tcPr/>
                <w:p>
                  <w:pPr>
                    <w:pStyle w:val="Compact"/>
                    <w:jc w:val="right"/>
                    <w:jc w:val="center"/>
                  </w:pPr>
                  <w:r>
                    <w:t xml:space="preserve">0.10</w:t>
                  </w:r>
                </w:p>
              </w:tc>
              <w:tc>
                <w:tcPr/>
                <w:p>
                  <w:pPr>
                    <w:pStyle w:val="Compact"/>
                    <w:jc w:val="right"/>
                    <w:jc w:val="center"/>
                  </w:pPr>
                  <w:r>
                    <w:t xml:space="preserve">0.02</w:t>
                  </w:r>
                </w:p>
              </w:tc>
              <w:tc>
                <w:tcPr/>
                <w:p>
                  <w:pPr>
                    <w:pStyle w:val="Compact"/>
                    <w:jc w:val="right"/>
                    <w:jc w:val="center"/>
                  </w:pPr>
                  <w:r>
                    <w:t xml:space="preserve">0.18</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0.12</w:t>
                  </w:r>
                </w:p>
              </w:tc>
              <w:tc>
                <w:tcPr/>
                <w:p>
                  <w:pPr>
                    <w:pStyle w:val="Compact"/>
                    <w:jc w:val="right"/>
                    <w:jc w:val="center"/>
                  </w:pPr>
                  <w:r>
                    <w:t xml:space="preserve">0.02</w:t>
                  </w:r>
                </w:p>
              </w:tc>
              <w:tc>
                <w:tcPr/>
                <w:p>
                  <w:pPr>
                    <w:pStyle w:val="Compact"/>
                    <w:jc w:val="right"/>
                    <w:jc w:val="center"/>
                  </w:pPr>
                  <w:r>
                    <w:t xml:space="preserve">0.23</w:t>
                  </w:r>
                </w:p>
              </w:tc>
              <w:tc>
                <w:tcPr/>
                <w:p>
                  <w:pPr>
                    <w:pStyle w:val="Compact"/>
                    <w:jc w:val="right"/>
                    <w:jc w:val="center"/>
                  </w:pPr>
                  <w:r>
                    <w:t xml:space="preserve">0.99</w:t>
                  </w:r>
                </w:p>
              </w:tc>
            </w:tr>
          </w:tbl>
          <w:p>
            <w:pPr>
              <w:pStyle w:val="TableCaption"/>
              <w:jc w:val="center"/>
            </w:pPr>
            <w:r>
              <w:t xml:space="preserve">Contrasts</w:t>
            </w:r>
          </w:p>
          <w:tbl>
            <w:tblPr>
              <w:tblStyle w:val="Table"/>
              <w:tblW w:type="auto" w:w="0"/>
              <w:tblLook w:firstRow="1" w:lastRow="0" w:firstColumn="0" w:lastColumn="0" w:noHBand="0" w:noVBand="0" w:val="0020"/>
              <w:jc w:val="start"/>
              <w:tblCaption w:val="Contrasts"/>
            </w:tblPr>
            <w:tblGrid>
              <w:gridCol w:w="1320"/>
              <w:gridCol w:w="1320"/>
              <w:gridCol w:w="1320"/>
              <w:gridCol w:w="1320"/>
              <w:gridCol w:w="1320"/>
              <w:gridCol w:w="1320"/>
            </w:tblGrid>
            <w:tr>
              <w:trPr>
                <w:tblHeader w:val="true"/>
              </w:trPr>
              <w:tc>
                <w:tcPr/>
                <w:p>
                  <w:pPr>
                    <w:pStyle w:val="Compact"/>
                    <w:jc w:val="left"/>
                    <w:jc w:val="center"/>
                  </w:pPr>
                  <w:r>
                    <w:t xml:space="preserve">contrast</w:t>
                  </w:r>
                </w:p>
              </w:tc>
              <w:tc>
                <w:tcPr/>
                <w:p>
                  <w:pPr>
                    <w:pStyle w:val="Compact"/>
                    <w:jc w:val="right"/>
                    <w:jc w:val="center"/>
                  </w:pPr>
                  <w:r>
                    <w:t xml:space="preserve">Band</w:t>
                  </w:r>
                </w:p>
              </w:tc>
              <w:tc>
                <w:tcPr/>
                <w:p>
                  <w:pPr>
                    <w:pStyle w:val="Compact"/>
                    <w:jc w:val="right"/>
                    <w:jc w:val="center"/>
                  </w:pPr>
                  <w:r>
                    <w:t xml:space="preserve">value</w:t>
                  </w:r>
                </w:p>
              </w:tc>
              <w:tc>
                <w:tcPr/>
                <w:p>
                  <w:pPr>
                    <w:pStyle w:val="Compact"/>
                    <w:jc w:val="right"/>
                    <w:jc w:val="center"/>
                  </w:pPr>
                  <w:r>
                    <w:t xml:space="preserve">lower</w:t>
                  </w:r>
                </w:p>
              </w:tc>
              <w:tc>
                <w:tcPr/>
                <w:p>
                  <w:pPr>
                    <w:pStyle w:val="Compact"/>
                    <w:jc w:val="right"/>
                    <w:jc w:val="center"/>
                  </w:pPr>
                  <w:r>
                    <w:t xml:space="preserve">upper</w:t>
                  </w:r>
                </w:p>
              </w:tc>
              <w:tc>
                <w:tcPr/>
                <w:p>
                  <w:pPr>
                    <w:pStyle w:val="Compact"/>
                    <w:jc w:val="right"/>
                    <w:jc w:val="center"/>
                  </w:pPr>
                  <w:r>
                    <w:t xml:space="preserve">pd</w:t>
                  </w:r>
                </w:p>
              </w:tc>
            </w:tr>
            <w:tr>
              <w:tc>
                <w:tcPr/>
                <w:p>
                  <w:pPr>
                    <w:pStyle w:val="Compact"/>
                    <w:jc w:val="left"/>
                    <w:jc w:val="center"/>
                  </w:pPr>
                  <w:r>
                    <w:t xml:space="preserve">Constant - Varied</w:t>
                  </w:r>
                </w:p>
              </w:tc>
              <w:tc>
                <w:tcPr/>
                <w:p>
                  <w:pPr>
                    <w:pStyle w:val="Compact"/>
                    <w:jc w:val="right"/>
                    <w:jc w:val="center"/>
                  </w:pPr>
                  <w:r>
                    <w:t xml:space="preserve">100</w:t>
                  </w:r>
                </w:p>
              </w:tc>
              <w:tc>
                <w:tcPr/>
                <w:p>
                  <w:pPr>
                    <w:pStyle w:val="Compact"/>
                    <w:jc w:val="right"/>
                    <w:jc w:val="center"/>
                  </w:pPr>
                  <w:r>
                    <w:t xml:space="preserve">57.6</w:t>
                  </w:r>
                </w:p>
              </w:tc>
              <w:tc>
                <w:tcPr/>
                <w:p>
                  <w:pPr>
                    <w:pStyle w:val="Compact"/>
                    <w:jc w:val="right"/>
                    <w:jc w:val="center"/>
                  </w:pPr>
                  <w:r>
                    <w:t xml:space="preserve">-20.5</w:t>
                  </w:r>
                </w:p>
              </w:tc>
              <w:tc>
                <w:tcPr/>
                <w:p>
                  <w:pPr>
                    <w:pStyle w:val="Compact"/>
                    <w:jc w:val="right"/>
                    <w:jc w:val="center"/>
                  </w:pPr>
                  <w:r>
                    <w:t xml:space="preserve">135.32</w:t>
                  </w:r>
                </w:p>
              </w:tc>
              <w:tc>
                <w:tcPr/>
                <w:p>
                  <w:pPr>
                    <w:pStyle w:val="Compact"/>
                    <w:jc w:val="right"/>
                    <w:jc w:val="center"/>
                  </w:pPr>
                  <w:r>
                    <w:t xml:space="preserve">0.93</w:t>
                  </w:r>
                </w:p>
              </w:tc>
            </w:tr>
            <w:tr>
              <w:tc>
                <w:tcPr/>
                <w:p>
                  <w:pPr>
                    <w:pStyle w:val="Compact"/>
                    <w:jc w:val="left"/>
                    <w:jc w:val="center"/>
                  </w:pPr>
                  <w:r>
                    <w:t xml:space="preserve">Constant - Varied</w:t>
                  </w:r>
                </w:p>
              </w:tc>
              <w:tc>
                <w:tcPr/>
                <w:p>
                  <w:pPr>
                    <w:pStyle w:val="Compact"/>
                    <w:jc w:val="right"/>
                    <w:jc w:val="center"/>
                  </w:pPr>
                  <w:r>
                    <w:t xml:space="preserve">350</w:t>
                  </w:r>
                </w:p>
              </w:tc>
              <w:tc>
                <w:tcPr/>
                <w:p>
                  <w:pPr>
                    <w:pStyle w:val="Compact"/>
                    <w:jc w:val="right"/>
                    <w:jc w:val="center"/>
                  </w:pPr>
                  <w:r>
                    <w:t xml:space="preserve">26.6</w:t>
                  </w:r>
                </w:p>
              </w:tc>
              <w:tc>
                <w:tcPr/>
                <w:p>
                  <w:pPr>
                    <w:pStyle w:val="Compact"/>
                    <w:jc w:val="right"/>
                    <w:jc w:val="center"/>
                  </w:pPr>
                  <w:r>
                    <w:t xml:space="preserve">-30.9</w:t>
                  </w:r>
                </w:p>
              </w:tc>
              <w:tc>
                <w:tcPr/>
                <w:p>
                  <w:pPr>
                    <w:pStyle w:val="Compact"/>
                    <w:jc w:val="right"/>
                    <w:jc w:val="center"/>
                  </w:pPr>
                  <w:r>
                    <w:t xml:space="preserve">83.84</w:t>
                  </w:r>
                </w:p>
              </w:tc>
              <w:tc>
                <w:tcPr/>
                <w:p>
                  <w:pPr>
                    <w:pStyle w:val="Compact"/>
                    <w:jc w:val="right"/>
                    <w:jc w:val="center"/>
                  </w:pPr>
                  <w:r>
                    <w:t xml:space="preserve">0.83</w:t>
                  </w:r>
                </w:p>
              </w:tc>
            </w:tr>
            <w:tr>
              <w:tc>
                <w:tcPr/>
                <w:p>
                  <w:pPr>
                    <w:pStyle w:val="Compact"/>
                    <w:jc w:val="left"/>
                    <w:jc w:val="center"/>
                  </w:pPr>
                  <w:r>
                    <w:t xml:space="preserve">Constant - Varied</w:t>
                  </w:r>
                </w:p>
              </w:tc>
              <w:tc>
                <w:tcPr/>
                <w:p>
                  <w:pPr>
                    <w:pStyle w:val="Compact"/>
                    <w:jc w:val="right"/>
                    <w:jc w:val="center"/>
                  </w:pPr>
                  <w:r>
                    <w:t xml:space="preserve">600</w:t>
                  </w:r>
                </w:p>
              </w:tc>
              <w:tc>
                <w:tcPr/>
                <w:p>
                  <w:pPr>
                    <w:pStyle w:val="Compact"/>
                    <w:jc w:val="right"/>
                    <w:jc w:val="center"/>
                  </w:pPr>
                  <w:r>
                    <w:t xml:space="preserve">-4.3</w:t>
                  </w:r>
                </w:p>
              </w:tc>
              <w:tc>
                <w:tcPr/>
                <w:p>
                  <w:pPr>
                    <w:pStyle w:val="Compact"/>
                    <w:jc w:val="right"/>
                    <w:jc w:val="center"/>
                  </w:pPr>
                  <w:r>
                    <w:t xml:space="preserve">-46.7</w:t>
                  </w:r>
                </w:p>
              </w:tc>
              <w:tc>
                <w:tcPr/>
                <w:p>
                  <w:pPr>
                    <w:pStyle w:val="Compact"/>
                    <w:jc w:val="right"/>
                    <w:jc w:val="center"/>
                  </w:pPr>
                  <w:r>
                    <w:t xml:space="preserve">38.52</w:t>
                  </w:r>
                </w:p>
              </w:tc>
              <w:tc>
                <w:tcPr/>
                <w:p>
                  <w:pPr>
                    <w:pStyle w:val="Compact"/>
                    <w:jc w:val="right"/>
                    <w:jc w:val="center"/>
                  </w:pPr>
                  <w:r>
                    <w:t xml:space="preserve">0.58</w:t>
                  </w:r>
                </w:p>
              </w:tc>
            </w:tr>
            <w:tr>
              <w:tc>
                <w:tcPr/>
                <w:p>
                  <w:pPr>
                    <w:pStyle w:val="Compact"/>
                    <w:jc w:val="left"/>
                    <w:jc w:val="center"/>
                  </w:pPr>
                  <w:r>
                    <w:t xml:space="preserve">Constant - Varied</w:t>
                  </w:r>
                </w:p>
              </w:tc>
              <w:tc>
                <w:tcPr/>
                <w:p>
                  <w:pPr>
                    <w:pStyle w:val="Compact"/>
                    <w:jc w:val="right"/>
                    <w:jc w:val="center"/>
                  </w:pPr>
                  <w:r>
                    <w:t xml:space="preserve">800</w:t>
                  </w:r>
                </w:p>
              </w:tc>
              <w:tc>
                <w:tcPr/>
                <w:p>
                  <w:pPr>
                    <w:pStyle w:val="Compact"/>
                    <w:jc w:val="right"/>
                    <w:jc w:val="center"/>
                  </w:pPr>
                  <w:r>
                    <w:t xml:space="preserve">-29.3</w:t>
                  </w:r>
                </w:p>
              </w:tc>
              <w:tc>
                <w:tcPr/>
                <w:p>
                  <w:pPr>
                    <w:pStyle w:val="Compact"/>
                    <w:jc w:val="right"/>
                    <w:jc w:val="center"/>
                  </w:pPr>
                  <w:r>
                    <w:t xml:space="preserve">-69.4</w:t>
                  </w:r>
                </w:p>
              </w:tc>
              <w:tc>
                <w:tcPr/>
                <w:p>
                  <w:pPr>
                    <w:pStyle w:val="Compact"/>
                    <w:jc w:val="right"/>
                    <w:jc w:val="center"/>
                  </w:pPr>
                  <w:r>
                    <w:t xml:space="preserve">11.29</w:t>
                  </w:r>
                </w:p>
              </w:tc>
              <w:tc>
                <w:tcPr/>
                <w:p>
                  <w:pPr>
                    <w:pStyle w:val="Compact"/>
                    <w:jc w:val="right"/>
                    <w:jc w:val="center"/>
                  </w:pPr>
                  <w:r>
                    <w:t xml:space="preserve">0.92</w:t>
                  </w:r>
                </w:p>
              </w:tc>
            </w:tr>
            <w:tr>
              <w:tc>
                <w:tcPr/>
                <w:p>
                  <w:pPr>
                    <w:pStyle w:val="Compact"/>
                    <w:jc w:val="left"/>
                    <w:jc w:val="center"/>
                  </w:pPr>
                  <w:r>
                    <w:t xml:space="preserve">Constant - Varied</w:t>
                  </w:r>
                </w:p>
              </w:tc>
              <w:tc>
                <w:tcPr/>
                <w:p>
                  <w:pPr>
                    <w:pStyle w:val="Compact"/>
                    <w:jc w:val="right"/>
                    <w:jc w:val="center"/>
                  </w:pPr>
                  <w:r>
                    <w:t xml:space="preserve">1000</w:t>
                  </w:r>
                </w:p>
              </w:tc>
              <w:tc>
                <w:tcPr/>
                <w:p>
                  <w:pPr>
                    <w:pStyle w:val="Compact"/>
                    <w:jc w:val="right"/>
                    <w:jc w:val="center"/>
                  </w:pPr>
                  <w:r>
                    <w:t xml:space="preserve">-54.6</w:t>
                  </w:r>
                </w:p>
              </w:tc>
              <w:tc>
                <w:tcPr/>
                <w:p>
                  <w:pPr>
                    <w:pStyle w:val="Compact"/>
                    <w:jc w:val="right"/>
                    <w:jc w:val="center"/>
                  </w:pPr>
                  <w:r>
                    <w:t xml:space="preserve">-101.1</w:t>
                  </w:r>
                </w:p>
              </w:tc>
              <w:tc>
                <w:tcPr/>
                <w:p>
                  <w:pPr>
                    <w:pStyle w:val="Compact"/>
                    <w:jc w:val="right"/>
                    <w:jc w:val="center"/>
                  </w:pPr>
                  <w:r>
                    <w:t xml:space="preserve">-5.32</w:t>
                  </w:r>
                </w:p>
              </w:tc>
              <w:tc>
                <w:tcPr/>
                <w:p>
                  <w:pPr>
                    <w:pStyle w:val="Compact"/>
                    <w:jc w:val="right"/>
                    <w:jc w:val="center"/>
                  </w:pPr>
                  <w:r>
                    <w:t xml:space="preserve">0.98</w:t>
                  </w:r>
                </w:p>
              </w:tc>
            </w:tr>
            <w:tr>
              <w:tc>
                <w:tcPr/>
                <w:p>
                  <w:pPr>
                    <w:pStyle w:val="Compact"/>
                    <w:jc w:val="left"/>
                    <w:jc w:val="center"/>
                  </w:pPr>
                  <w:r>
                    <w:t xml:space="preserve">Constant - Varied</w:t>
                  </w:r>
                </w:p>
              </w:tc>
              <w:tc>
                <w:tcPr/>
                <w:p>
                  <w:pPr>
                    <w:pStyle w:val="Compact"/>
                    <w:jc w:val="right"/>
                    <w:jc w:val="center"/>
                  </w:pPr>
                  <w:r>
                    <w:t xml:space="preserve">1200</w:t>
                  </w:r>
                </w:p>
              </w:tc>
              <w:tc>
                <w:tcPr/>
                <w:p>
                  <w:pPr>
                    <w:pStyle w:val="Compact"/>
                    <w:jc w:val="right"/>
                    <w:jc w:val="center"/>
                  </w:pPr>
                  <w:r>
                    <w:t xml:space="preserve">-79.6</w:t>
                  </w:r>
                </w:p>
              </w:tc>
              <w:tc>
                <w:tcPr/>
                <w:p>
                  <w:pPr>
                    <w:pStyle w:val="Compact"/>
                    <w:jc w:val="right"/>
                    <w:jc w:val="center"/>
                  </w:pPr>
                  <w:r>
                    <w:t xml:space="preserve">-139.5</w:t>
                  </w:r>
                </w:p>
              </w:tc>
              <w:tc>
                <w:tcPr/>
                <w:p>
                  <w:pPr>
                    <w:pStyle w:val="Compact"/>
                    <w:jc w:val="right"/>
                    <w:jc w:val="center"/>
                  </w:pPr>
                  <w:r>
                    <w:t xml:space="preserve">-15.45</w:t>
                  </w:r>
                </w:p>
              </w:tc>
              <w:tc>
                <w:tcPr/>
                <w:p>
                  <w:pPr>
                    <w:pStyle w:val="Compact"/>
                    <w:jc w:val="right"/>
                    <w:jc w:val="center"/>
                  </w:pPr>
                  <w:r>
                    <w:t xml:space="preserve">0.99</w:t>
                  </w:r>
                </w:p>
              </w:tc>
            </w:tr>
          </w:tbl>
          <w:bookmarkEnd w:id="142"/>
          <w:p/>
        </w:tc>
      </w:tr>
    </w:tbl>
    <w:p>
      <w:pPr>
        <w:pStyle w:val="BodyText"/>
      </w:pPr>
      <w:r>
        <w:t xml:space="preserve">The model predicting absolute deviation showed a modest tendency for the varied training group to have lower deviation compared to the constant training group (β = -70.33, 95% CI [-156.87, 16.66]),with 94% of the posterior distribution being less than 0. This suggests a potential benefit of training with variation, though the evidence is not definitive.</w:t>
      </w:r>
    </w:p>
    <w:bookmarkEnd w:id="143"/>
    <w:bookmarkStart w:id="152" w:name="discrimination-between-velocity-bands"/>
    <w:p>
      <w:pPr>
        <w:pStyle w:val="Heading4"/>
      </w:pPr>
      <w:r>
        <w:t xml:space="preserve">Discrimination between Velocity Bands</w:t>
      </w:r>
    </w:p>
    <w:p>
      <w:pPr>
        <w:pStyle w:val="FirstParagraph"/>
      </w:pPr>
      <w:r>
        <w:t xml:space="preserve">In addition to accuracy/deviation. We also assessed the ability of participants to reliably discriminate between the velocity bands (i.e. responding differently when prompted for band 600-800 than when prompted for band 150-350).</w:t>
      </w:r>
      <w:r>
        <w:t xml:space="preserve"> </w:t>
      </w:r>
      <w:hyperlink w:anchor="tbl-e2-test-nf-vx">
        <w:r>
          <w:rPr>
            <w:rStyle w:val="Hyperlink"/>
          </w:rPr>
          <w:t xml:space="preserve">Table 11</w:t>
        </w:r>
      </w:hyperlink>
      <w:r>
        <w:t xml:space="preserve"> </w:t>
      </w:r>
      <w:r>
        <w:t xml:space="preserve">shows descriptive statistics of this measure, and Figure 1 visualizes the full distributions of throws for each combination of condition and velocity band. To quantify discrimination, we again fit Bayesian Mixed Models as above, but this time the dependent variable was the raw x velocity generated by participants.</w:t>
      </w:r>
    </w:p>
    <w:p>
      <w:pPr>
        <w:pStyle w:val="BodyText"/>
      </w:pPr>
    </w:p>
    <w:tbl>
      <w:tblPr>
        <w:tblStyle w:val="Table"/>
        <w:tblW w:type="pct" w:w="5000"/>
        <w:tblLook w:firstRow="0" w:lastRow="0" w:firstColumn="0" w:lastColumn="0" w:noHBand="0" w:noVBand="0" w:val="0000"/>
        <w:jc w:val="start"/>
        <w:tblLayout w:type="fixed"/>
      </w:tblPr>
      <w:tblGrid>
        <w:gridCol w:w="7920"/>
      </w:tblGrid>
      <w:tr>
        <w:tc>
          <w:tcPr/>
          <w:bookmarkStart w:id="144" w:name="fig-e2-test-vx"/>
          <w:p>
            <w:pPr>
              <w:pStyle w:val="Compact"/>
              <w:jc w:val="center"/>
            </w:pPr>
          </w:p>
          <w:p>
            <w:pPr>
              <w:jc w:val="center"/>
            </w:pPr>
            <w:pPr>
              <w:jc w:val="start"/>
              <w:spacing w:before="200"/>
              <w:pStyle w:val="ImageCaption"/>
            </w:pPr>
            <w:r>
              <w:t xml:space="preserve">Figure 19: E2 testing x velocities. Translucent bands with dash lines indicate the correct range for each velocity band.</w:t>
            </w:r>
          </w:p>
          <w:bookmarkEnd w:id="144"/>
        </w:tc>
      </w:tr>
    </w:tbl>
    <w:bookmarkStart w:id="149" w:name="tbl-e2-test-nf-vx"/>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46" w:name="tbl-e2-test-nf-vx-1"/>
                <w:p>
                  <w:pPr>
                    <w:jc w:val="center"/>
                    <w:jc w:val="left"/>
                  </w:pPr>
                  <w:pPr>
                    <w:jc w:val="start"/>
                    <w:spacing w:before="200"/>
                    <w:pStyle w:val="ImageCaption"/>
                  </w:pPr>
                  <w:r>
                    <w:t xml:space="preserve">(a) Constant Testing - vx</w:t>
                  </w:r>
                </w:p>
                <w:bookmarkStart w:id="145" w:name="tbl-e2-test-nf-vx-1"/>
                <w:tbl>
                  <w:tblPr>
                    <w:tblStyle w:val="Table"/>
                    <w:tblW w:type="pct" w:w="4900"/>
                    <w:tblLook w:firstRow="1" w:lastRow="0" w:firstColumn="0" w:lastColumn="0" w:noHBand="0" w:noVBand="0" w:val="0020"/>
                    <w:jc w:val="start"/>
                    <w:tblLayout w:type="fixed"/>
                  </w:tblPr>
                  <w:tblGrid>
                    <w:gridCol w:w="1552"/>
                    <w:gridCol w:w="1552"/>
                    <w:gridCol w:w="1552"/>
                    <w:gridCol w:w="1552"/>
                    <w:gridCol w:w="1552"/>
                  </w:tblGrid>
                  <w:tr>
                    <w:trPr>
                      <w:tblHeader w:val="true"/>
                    </w:trPr>
                    <w:tc>
                      <w:tcPr/>
                      <w:p>
                        <w:pPr>
                          <w:pStyle w:val="Compact"/>
                          <w:jc w:val="left"/>
                          <w:jc w:val="center"/>
                          <w:jc w:val="left"/>
                        </w:pPr>
                        <w:r>
                          <w:t xml:space="preserve">Band</w:t>
                        </w:r>
                      </w:p>
                    </w:tc>
                    <w:tc>
                      <w:tcPr/>
                      <w:p>
                        <w:pPr>
                          <w:pStyle w:val="Compact"/>
                          <w:jc w:val="left"/>
                          <w:jc w:val="center"/>
                          <w:jc w:val="left"/>
                        </w:pPr>
                        <w:r>
                          <w:t xml:space="preserve">Band Type</w:t>
                        </w:r>
                      </w:p>
                    </w:tc>
                    <w:tc>
                      <w:tcPr/>
                      <w:p>
                        <w:pPr>
                          <w:pStyle w:val="Compact"/>
                          <w:jc w:val="right"/>
                          <w:jc w:val="center"/>
                          <w:jc w:val="left"/>
                        </w:pPr>
                        <w:r>
                          <w:t xml:space="preserve">Mean</w:t>
                        </w:r>
                      </w:p>
                    </w:tc>
                    <w:tc>
                      <w:tcPr/>
                      <w:p>
                        <w:pPr>
                          <w:pStyle w:val="Compact"/>
                          <w:jc w:val="right"/>
                          <w:jc w:val="center"/>
                          <w:jc w:val="left"/>
                        </w:pPr>
                        <w:r>
                          <w:t xml:space="preserve">Median</w:t>
                        </w:r>
                      </w:p>
                    </w:tc>
                    <w:tc>
                      <w:tcPr/>
                      <w:p>
                        <w:pPr>
                          <w:pStyle w:val="Compact"/>
                          <w:jc w:val="right"/>
                          <w:jc w:val="center"/>
                          <w:jc w:val="left"/>
                        </w:pPr>
                        <w:r>
                          <w:t xml:space="preserve">Sd</w:t>
                        </w:r>
                      </w:p>
                    </w:tc>
                  </w:tr>
                  <w:tr>
                    <w:tc>
                      <w:tcPr/>
                      <w:p>
                        <w:pPr>
                          <w:pStyle w:val="Compact"/>
                          <w:jc w:val="left"/>
                          <w:jc w:val="center"/>
                          <w:jc w:val="left"/>
                        </w:pPr>
                        <w:r>
                          <w:t xml:space="preserve">100-300</w:t>
                        </w:r>
                      </w:p>
                    </w:tc>
                    <w:tc>
                      <w:tcPr/>
                      <w:p>
                        <w:pPr>
                          <w:pStyle w:val="Compact"/>
                          <w:jc w:val="left"/>
                          <w:jc w:val="center"/>
                          <w:jc w:val="left"/>
                        </w:pPr>
                        <w:r>
                          <w:t xml:space="preserve">Extrapolation</w:t>
                        </w:r>
                      </w:p>
                    </w:tc>
                    <w:tc>
                      <w:tcPr/>
                      <w:p>
                        <w:pPr>
                          <w:pStyle w:val="Compact"/>
                          <w:jc w:val="right"/>
                          <w:jc w:val="center"/>
                          <w:jc w:val="left"/>
                        </w:pPr>
                        <w:r>
                          <w:t xml:space="preserve">457</w:t>
                        </w:r>
                      </w:p>
                    </w:tc>
                    <w:tc>
                      <w:tcPr/>
                      <w:p>
                        <w:pPr>
                          <w:pStyle w:val="Compact"/>
                          <w:jc w:val="right"/>
                          <w:jc w:val="center"/>
                          <w:jc w:val="left"/>
                        </w:pPr>
                        <w:r>
                          <w:t xml:space="preserve">346</w:t>
                        </w:r>
                      </w:p>
                    </w:tc>
                    <w:tc>
                      <w:tcPr/>
                      <w:p>
                        <w:pPr>
                          <w:pStyle w:val="Compact"/>
                          <w:jc w:val="right"/>
                          <w:jc w:val="center"/>
                          <w:jc w:val="left"/>
                        </w:pPr>
                        <w:r>
                          <w:t xml:space="preserve">354</w:t>
                        </w:r>
                      </w:p>
                    </w:tc>
                  </w:tr>
                  <w:tr>
                    <w:tc>
                      <w:tcPr/>
                      <w:p>
                        <w:pPr>
                          <w:pStyle w:val="Compact"/>
                          <w:jc w:val="left"/>
                          <w:jc w:val="center"/>
                          <w:jc w:val="left"/>
                        </w:pPr>
                        <w:r>
                          <w:t xml:space="preserve">350-550</w:t>
                        </w:r>
                      </w:p>
                    </w:tc>
                    <w:tc>
                      <w:tcPr/>
                      <w:p>
                        <w:pPr>
                          <w:pStyle w:val="Compact"/>
                          <w:jc w:val="left"/>
                          <w:jc w:val="center"/>
                          <w:jc w:val="left"/>
                        </w:pPr>
                        <w:r>
                          <w:t xml:space="preserve">Extrapolation</w:t>
                        </w:r>
                      </w:p>
                    </w:tc>
                    <w:tc>
                      <w:tcPr/>
                      <w:p>
                        <w:pPr>
                          <w:pStyle w:val="Compact"/>
                          <w:jc w:val="right"/>
                          <w:jc w:val="center"/>
                          <w:jc w:val="left"/>
                        </w:pPr>
                        <w:r>
                          <w:t xml:space="preserve">597</w:t>
                        </w:r>
                      </w:p>
                    </w:tc>
                    <w:tc>
                      <w:tcPr/>
                      <w:p>
                        <w:pPr>
                          <w:pStyle w:val="Compact"/>
                          <w:jc w:val="right"/>
                          <w:jc w:val="center"/>
                          <w:jc w:val="left"/>
                        </w:pPr>
                        <w:r>
                          <w:t xml:space="preserve">485</w:t>
                        </w:r>
                      </w:p>
                    </w:tc>
                    <w:tc>
                      <w:tcPr/>
                      <w:p>
                        <w:pPr>
                          <w:pStyle w:val="Compact"/>
                          <w:jc w:val="right"/>
                          <w:jc w:val="center"/>
                          <w:jc w:val="left"/>
                        </w:pPr>
                        <w:r>
                          <w:t xml:space="preserve">368</w:t>
                        </w:r>
                      </w:p>
                    </w:tc>
                  </w:tr>
                  <w:tr>
                    <w:tc>
                      <w:tcPr/>
                      <w:p>
                        <w:pPr>
                          <w:pStyle w:val="Compact"/>
                          <w:jc w:val="left"/>
                          <w:jc w:val="center"/>
                          <w:jc w:val="left"/>
                        </w:pPr>
                        <w:r>
                          <w:t xml:space="preserve">600-800</w:t>
                        </w:r>
                      </w:p>
                    </w:tc>
                    <w:tc>
                      <w:tcPr/>
                      <w:p>
                        <w:pPr>
                          <w:pStyle w:val="Compact"/>
                          <w:jc w:val="left"/>
                          <w:jc w:val="center"/>
                          <w:jc w:val="left"/>
                        </w:pPr>
                        <w:r>
                          <w:t xml:space="preserve">Trained</w:t>
                        </w:r>
                      </w:p>
                    </w:tc>
                    <w:tc>
                      <w:tcPr/>
                      <w:p>
                        <w:pPr>
                          <w:pStyle w:val="Compact"/>
                          <w:jc w:val="right"/>
                          <w:jc w:val="center"/>
                          <w:jc w:val="left"/>
                        </w:pPr>
                        <w:r>
                          <w:t xml:space="preserve">728</w:t>
                        </w:r>
                      </w:p>
                    </w:tc>
                    <w:tc>
                      <w:tcPr/>
                      <w:p>
                        <w:pPr>
                          <w:pStyle w:val="Compact"/>
                          <w:jc w:val="right"/>
                          <w:jc w:val="center"/>
                          <w:jc w:val="left"/>
                        </w:pPr>
                        <w:r>
                          <w:t xml:space="preserve">673</w:t>
                        </w:r>
                      </w:p>
                    </w:tc>
                    <w:tc>
                      <w:tcPr/>
                      <w:p>
                        <w:pPr>
                          <w:pStyle w:val="Compact"/>
                          <w:jc w:val="right"/>
                          <w:jc w:val="center"/>
                          <w:jc w:val="left"/>
                        </w:pPr>
                        <w:r>
                          <w:t xml:space="preserve">367</w:t>
                        </w:r>
                      </w:p>
                    </w:tc>
                  </w:tr>
                  <w:tr>
                    <w:tc>
                      <w:tcPr/>
                      <w:p>
                        <w:pPr>
                          <w:pStyle w:val="Compact"/>
                          <w:jc w:val="left"/>
                          <w:jc w:val="center"/>
                          <w:jc w:val="left"/>
                        </w:pPr>
                        <w:r>
                          <w:t xml:space="preserve">800-1000</w:t>
                        </w:r>
                      </w:p>
                    </w:tc>
                    <w:tc>
                      <w:tcPr/>
                      <w:p>
                        <w:pPr>
                          <w:pStyle w:val="Compact"/>
                          <w:jc w:val="left"/>
                          <w:jc w:val="center"/>
                          <w:jc w:val="left"/>
                        </w:pPr>
                        <w:r>
                          <w:t xml:space="preserve">Extrapolation</w:t>
                        </w:r>
                      </w:p>
                    </w:tc>
                    <w:tc>
                      <w:tcPr/>
                      <w:p>
                        <w:pPr>
                          <w:pStyle w:val="Compact"/>
                          <w:jc w:val="right"/>
                          <w:jc w:val="center"/>
                          <w:jc w:val="left"/>
                        </w:pPr>
                        <w:r>
                          <w:t xml:space="preserve">953</w:t>
                        </w:r>
                      </w:p>
                    </w:tc>
                    <w:tc>
                      <w:tcPr/>
                      <w:p>
                        <w:pPr>
                          <w:pStyle w:val="Compact"/>
                          <w:jc w:val="right"/>
                          <w:jc w:val="center"/>
                          <w:jc w:val="left"/>
                        </w:pPr>
                        <w:r>
                          <w:t xml:space="preserve">913</w:t>
                        </w:r>
                      </w:p>
                    </w:tc>
                    <w:tc>
                      <w:tcPr/>
                      <w:p>
                        <w:pPr>
                          <w:pStyle w:val="Compact"/>
                          <w:jc w:val="right"/>
                          <w:jc w:val="center"/>
                          <w:jc w:val="left"/>
                        </w:pPr>
                        <w:r>
                          <w:t xml:space="preserve">375</w:t>
                        </w:r>
                      </w:p>
                    </w:tc>
                  </w:tr>
                  <w:tr>
                    <w:tc>
                      <w:tcPr/>
                      <w:p>
                        <w:pPr>
                          <w:pStyle w:val="Compact"/>
                          <w:jc w:val="left"/>
                          <w:jc w:val="center"/>
                          <w:jc w:val="left"/>
                        </w:pPr>
                        <w:r>
                          <w:t xml:space="preserve">1000-1200</w:t>
                        </w:r>
                      </w:p>
                    </w:tc>
                    <w:tc>
                      <w:tcPr/>
                      <w:p>
                        <w:pPr>
                          <w:pStyle w:val="Compact"/>
                          <w:jc w:val="left"/>
                          <w:jc w:val="center"/>
                          <w:jc w:val="left"/>
                        </w:pPr>
                        <w:r>
                          <w:t xml:space="preserve">Extrapolation</w:t>
                        </w:r>
                      </w:p>
                    </w:tc>
                    <w:tc>
                      <w:tcPr/>
                      <w:p>
                        <w:pPr>
                          <w:pStyle w:val="Compact"/>
                          <w:jc w:val="right"/>
                          <w:jc w:val="center"/>
                          <w:jc w:val="left"/>
                        </w:pPr>
                        <w:r>
                          <w:t xml:space="preserve">1064</w:t>
                        </w:r>
                      </w:p>
                    </w:tc>
                    <w:tc>
                      <w:tcPr/>
                      <w:p>
                        <w:pPr>
                          <w:pStyle w:val="Compact"/>
                          <w:jc w:val="right"/>
                          <w:jc w:val="center"/>
                          <w:jc w:val="left"/>
                        </w:pPr>
                        <w:r>
                          <w:t xml:space="preserve">1012</w:t>
                        </w:r>
                      </w:p>
                    </w:tc>
                    <w:tc>
                      <w:tcPr/>
                      <w:p>
                        <w:pPr>
                          <w:pStyle w:val="Compact"/>
                          <w:jc w:val="right"/>
                          <w:jc w:val="center"/>
                          <w:jc w:val="left"/>
                        </w:pPr>
                        <w:r>
                          <w:t xml:space="preserve">408</w:t>
                        </w:r>
                      </w:p>
                    </w:tc>
                  </w:tr>
                  <w:tr>
                    <w:tc>
                      <w:tcPr/>
                      <w:p>
                        <w:pPr>
                          <w:pStyle w:val="Compact"/>
                          <w:jc w:val="left"/>
                          <w:jc w:val="center"/>
                          <w:jc w:val="left"/>
                        </w:pPr>
                        <w:r>
                          <w:t xml:space="preserve">1200-1400</w:t>
                        </w:r>
                      </w:p>
                    </w:tc>
                    <w:tc>
                      <w:tcPr/>
                      <w:p>
                        <w:pPr>
                          <w:pStyle w:val="Compact"/>
                          <w:jc w:val="left"/>
                          <w:jc w:val="center"/>
                          <w:jc w:val="left"/>
                        </w:pPr>
                        <w:r>
                          <w:t xml:space="preserve">Extrapolation</w:t>
                        </w:r>
                      </w:p>
                    </w:tc>
                    <w:tc>
                      <w:tcPr/>
                      <w:p>
                        <w:pPr>
                          <w:pStyle w:val="Compact"/>
                          <w:jc w:val="right"/>
                          <w:jc w:val="center"/>
                          <w:jc w:val="left"/>
                        </w:pPr>
                        <w:r>
                          <w:t xml:space="preserve">1213</w:t>
                        </w:r>
                      </w:p>
                    </w:tc>
                    <w:tc>
                      <w:tcPr/>
                      <w:p>
                        <w:pPr>
                          <w:pStyle w:val="Compact"/>
                          <w:jc w:val="right"/>
                          <w:jc w:val="center"/>
                          <w:jc w:val="left"/>
                        </w:pPr>
                        <w:r>
                          <w:t xml:space="preserve">1139</w:t>
                        </w:r>
                      </w:p>
                    </w:tc>
                    <w:tc>
                      <w:tcPr/>
                      <w:p>
                        <w:pPr>
                          <w:pStyle w:val="Compact"/>
                          <w:jc w:val="right"/>
                          <w:jc w:val="center"/>
                          <w:jc w:val="left"/>
                        </w:pPr>
                        <w:r>
                          <w:t xml:space="preserve">493</w:t>
                        </w:r>
                      </w:p>
                    </w:tc>
                  </w:tr>
                </w:tbl>
                <w:bookmarkEnd w:id="145"/>
                <w:bookmarkEnd w:id="146"/>
                <w:p/>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48" w:name="tbl-e2-test-nf-vx-2"/>
                <w:p>
                  <w:pPr>
                    <w:jc w:val="center"/>
                    <w:jc w:val="left"/>
                  </w:pPr>
                  <w:pPr>
                    <w:jc w:val="start"/>
                    <w:spacing w:before="200"/>
                    <w:pStyle w:val="ImageCaption"/>
                  </w:pPr>
                  <w:r>
                    <w:t xml:space="preserve">(b) Varied Testing - vx</w:t>
                  </w:r>
                </w:p>
                <w:bookmarkStart w:id="147" w:name="tbl-e2-test-nf-vx-2"/>
                <w:tbl>
                  <w:tblPr>
                    <w:tblStyle w:val="Table"/>
                    <w:tblW w:type="pct" w:w="4900"/>
                    <w:tblLook w:firstRow="1" w:lastRow="0" w:firstColumn="0" w:lastColumn="0" w:noHBand="0" w:noVBand="0" w:val="0020"/>
                    <w:jc w:val="start"/>
                    <w:tblLayout w:type="fixed"/>
                  </w:tblPr>
                  <w:tblGrid>
                    <w:gridCol w:w="1552"/>
                    <w:gridCol w:w="1552"/>
                    <w:gridCol w:w="1552"/>
                    <w:gridCol w:w="1552"/>
                    <w:gridCol w:w="1552"/>
                  </w:tblGrid>
                  <w:tr>
                    <w:trPr>
                      <w:tblHeader w:val="true"/>
                    </w:trPr>
                    <w:tc>
                      <w:tcPr/>
                      <w:p>
                        <w:pPr>
                          <w:pStyle w:val="Compact"/>
                          <w:jc w:val="left"/>
                          <w:jc w:val="center"/>
                          <w:jc w:val="left"/>
                        </w:pPr>
                        <w:r>
                          <w:t xml:space="preserve">Band</w:t>
                        </w:r>
                      </w:p>
                    </w:tc>
                    <w:tc>
                      <w:tcPr/>
                      <w:p>
                        <w:pPr>
                          <w:pStyle w:val="Compact"/>
                          <w:jc w:val="left"/>
                          <w:jc w:val="center"/>
                          <w:jc w:val="left"/>
                        </w:pPr>
                        <w:r>
                          <w:t xml:space="preserve">Band Type</w:t>
                        </w:r>
                      </w:p>
                    </w:tc>
                    <w:tc>
                      <w:tcPr/>
                      <w:p>
                        <w:pPr>
                          <w:pStyle w:val="Compact"/>
                          <w:jc w:val="right"/>
                          <w:jc w:val="center"/>
                          <w:jc w:val="left"/>
                        </w:pPr>
                        <w:r>
                          <w:t xml:space="preserve">Mean</w:t>
                        </w:r>
                      </w:p>
                    </w:tc>
                    <w:tc>
                      <w:tcPr/>
                      <w:p>
                        <w:pPr>
                          <w:pStyle w:val="Compact"/>
                          <w:jc w:val="right"/>
                          <w:jc w:val="center"/>
                          <w:jc w:val="left"/>
                        </w:pPr>
                        <w:r>
                          <w:t xml:space="preserve">Median</w:t>
                        </w:r>
                      </w:p>
                    </w:tc>
                    <w:tc>
                      <w:tcPr/>
                      <w:p>
                        <w:pPr>
                          <w:pStyle w:val="Compact"/>
                          <w:jc w:val="right"/>
                          <w:jc w:val="center"/>
                          <w:jc w:val="left"/>
                        </w:pPr>
                        <w:r>
                          <w:t xml:space="preserve">Sd</w:t>
                        </w:r>
                      </w:p>
                    </w:tc>
                  </w:tr>
                  <w:tr>
                    <w:tc>
                      <w:tcPr/>
                      <w:p>
                        <w:pPr>
                          <w:pStyle w:val="Compact"/>
                          <w:jc w:val="left"/>
                          <w:jc w:val="center"/>
                          <w:jc w:val="left"/>
                        </w:pPr>
                        <w:r>
                          <w:t xml:space="preserve">100-300</w:t>
                        </w:r>
                      </w:p>
                    </w:tc>
                    <w:tc>
                      <w:tcPr/>
                      <w:p>
                        <w:pPr>
                          <w:pStyle w:val="Compact"/>
                          <w:jc w:val="left"/>
                          <w:jc w:val="center"/>
                          <w:jc w:val="left"/>
                        </w:pPr>
                        <w:r>
                          <w:t xml:space="preserve">Trained</w:t>
                        </w:r>
                      </w:p>
                    </w:tc>
                    <w:tc>
                      <w:tcPr/>
                      <w:p>
                        <w:pPr>
                          <w:pStyle w:val="Compact"/>
                          <w:jc w:val="right"/>
                          <w:jc w:val="center"/>
                          <w:jc w:val="left"/>
                        </w:pPr>
                        <w:r>
                          <w:t xml:space="preserve">410</w:t>
                        </w:r>
                      </w:p>
                    </w:tc>
                    <w:tc>
                      <w:tcPr/>
                      <w:p>
                        <w:pPr>
                          <w:pStyle w:val="Compact"/>
                          <w:jc w:val="right"/>
                          <w:jc w:val="center"/>
                          <w:jc w:val="left"/>
                        </w:pPr>
                        <w:r>
                          <w:t xml:space="preserve">323</w:t>
                        </w:r>
                      </w:p>
                    </w:tc>
                    <w:tc>
                      <w:tcPr/>
                      <w:p>
                        <w:pPr>
                          <w:pStyle w:val="Compact"/>
                          <w:jc w:val="right"/>
                          <w:jc w:val="center"/>
                          <w:jc w:val="left"/>
                        </w:pPr>
                        <w:r>
                          <w:t xml:space="preserve">297</w:t>
                        </w:r>
                      </w:p>
                    </w:tc>
                  </w:tr>
                  <w:tr>
                    <w:tc>
                      <w:tcPr/>
                      <w:p>
                        <w:pPr>
                          <w:pStyle w:val="Compact"/>
                          <w:jc w:val="left"/>
                          <w:jc w:val="center"/>
                          <w:jc w:val="left"/>
                        </w:pPr>
                        <w:r>
                          <w:t xml:space="preserve">350-550</w:t>
                        </w:r>
                      </w:p>
                    </w:tc>
                    <w:tc>
                      <w:tcPr/>
                      <w:p>
                        <w:pPr>
                          <w:pStyle w:val="Compact"/>
                          <w:jc w:val="left"/>
                          <w:jc w:val="center"/>
                          <w:jc w:val="left"/>
                        </w:pPr>
                        <w:r>
                          <w:t xml:space="preserve">Trained</w:t>
                        </w:r>
                      </w:p>
                    </w:tc>
                    <w:tc>
                      <w:tcPr/>
                      <w:p>
                        <w:pPr>
                          <w:pStyle w:val="Compact"/>
                          <w:jc w:val="right"/>
                          <w:jc w:val="center"/>
                          <w:jc w:val="left"/>
                        </w:pPr>
                        <w:r>
                          <w:t xml:space="preserve">582</w:t>
                        </w:r>
                      </w:p>
                    </w:tc>
                    <w:tc>
                      <w:tcPr/>
                      <w:p>
                        <w:pPr>
                          <w:pStyle w:val="Compact"/>
                          <w:jc w:val="right"/>
                          <w:jc w:val="center"/>
                          <w:jc w:val="left"/>
                        </w:pPr>
                        <w:r>
                          <w:t xml:space="preserve">530</w:t>
                        </w:r>
                      </w:p>
                    </w:tc>
                    <w:tc>
                      <w:tcPr/>
                      <w:p>
                        <w:pPr>
                          <w:pStyle w:val="Compact"/>
                          <w:jc w:val="right"/>
                          <w:jc w:val="center"/>
                          <w:jc w:val="left"/>
                        </w:pPr>
                        <w:r>
                          <w:t xml:space="preserve">303</w:t>
                        </w:r>
                      </w:p>
                    </w:tc>
                  </w:tr>
                  <w:tr>
                    <w:tc>
                      <w:tcPr/>
                      <w:p>
                        <w:pPr>
                          <w:pStyle w:val="Compact"/>
                          <w:jc w:val="left"/>
                          <w:jc w:val="center"/>
                          <w:jc w:val="left"/>
                        </w:pPr>
                        <w:r>
                          <w:t xml:space="preserve">600-800</w:t>
                        </w:r>
                      </w:p>
                    </w:tc>
                    <w:tc>
                      <w:tcPr/>
                      <w:p>
                        <w:pPr>
                          <w:pStyle w:val="Compact"/>
                          <w:jc w:val="left"/>
                          <w:jc w:val="center"/>
                          <w:jc w:val="left"/>
                        </w:pPr>
                        <w:r>
                          <w:t xml:space="preserve">Trained</w:t>
                        </w:r>
                      </w:p>
                    </w:tc>
                    <w:tc>
                      <w:tcPr/>
                      <w:p>
                        <w:pPr>
                          <w:pStyle w:val="Compact"/>
                          <w:jc w:val="right"/>
                          <w:jc w:val="center"/>
                          <w:jc w:val="left"/>
                        </w:pPr>
                        <w:r>
                          <w:t xml:space="preserve">696</w:t>
                        </w:r>
                      </w:p>
                    </w:tc>
                    <w:tc>
                      <w:tcPr/>
                      <w:p>
                        <w:pPr>
                          <w:pStyle w:val="Compact"/>
                          <w:jc w:val="right"/>
                          <w:jc w:val="center"/>
                          <w:jc w:val="left"/>
                        </w:pPr>
                        <w:r>
                          <w:t xml:space="preserve">641</w:t>
                        </w:r>
                      </w:p>
                    </w:tc>
                    <w:tc>
                      <w:tcPr/>
                      <w:p>
                        <w:pPr>
                          <w:pStyle w:val="Compact"/>
                          <w:jc w:val="right"/>
                          <w:jc w:val="center"/>
                          <w:jc w:val="left"/>
                        </w:pPr>
                        <w:r>
                          <w:t xml:space="preserve">316</w:t>
                        </w:r>
                      </w:p>
                    </w:tc>
                  </w:tr>
                  <w:tr>
                    <w:tc>
                      <w:tcPr/>
                      <w:p>
                        <w:pPr>
                          <w:pStyle w:val="Compact"/>
                          <w:jc w:val="left"/>
                          <w:jc w:val="center"/>
                          <w:jc w:val="left"/>
                        </w:pPr>
                        <w:r>
                          <w:t xml:space="preserve">800-1000</w:t>
                        </w:r>
                      </w:p>
                    </w:tc>
                    <w:tc>
                      <w:tcPr/>
                      <w:p>
                        <w:pPr>
                          <w:pStyle w:val="Compact"/>
                          <w:jc w:val="left"/>
                          <w:jc w:val="center"/>
                          <w:jc w:val="left"/>
                        </w:pPr>
                        <w:r>
                          <w:t xml:space="preserve">Extrapolation</w:t>
                        </w:r>
                      </w:p>
                    </w:tc>
                    <w:tc>
                      <w:tcPr/>
                      <w:p>
                        <w:pPr>
                          <w:pStyle w:val="Compact"/>
                          <w:jc w:val="right"/>
                          <w:jc w:val="center"/>
                          <w:jc w:val="left"/>
                        </w:pPr>
                        <w:r>
                          <w:t xml:space="preserve">910</w:t>
                        </w:r>
                      </w:p>
                    </w:tc>
                    <w:tc>
                      <w:tcPr/>
                      <w:p>
                        <w:pPr>
                          <w:pStyle w:val="Compact"/>
                          <w:jc w:val="right"/>
                          <w:jc w:val="center"/>
                          <w:jc w:val="left"/>
                        </w:pPr>
                        <w:r>
                          <w:t xml:space="preserve">848</w:t>
                        </w:r>
                      </w:p>
                    </w:tc>
                    <w:tc>
                      <w:tcPr/>
                      <w:p>
                        <w:pPr>
                          <w:pStyle w:val="Compact"/>
                          <w:jc w:val="right"/>
                          <w:jc w:val="center"/>
                          <w:jc w:val="left"/>
                        </w:pPr>
                        <w:r>
                          <w:t xml:space="preserve">443</w:t>
                        </w:r>
                      </w:p>
                    </w:tc>
                  </w:tr>
                  <w:tr>
                    <w:tc>
                      <w:tcPr/>
                      <w:p>
                        <w:pPr>
                          <w:pStyle w:val="Compact"/>
                          <w:jc w:val="left"/>
                          <w:jc w:val="center"/>
                          <w:jc w:val="left"/>
                        </w:pPr>
                        <w:r>
                          <w:t xml:space="preserve">1000-1200</w:t>
                        </w:r>
                      </w:p>
                    </w:tc>
                    <w:tc>
                      <w:tcPr/>
                      <w:p>
                        <w:pPr>
                          <w:pStyle w:val="Compact"/>
                          <w:jc w:val="left"/>
                          <w:jc w:val="center"/>
                          <w:jc w:val="left"/>
                        </w:pPr>
                        <w:r>
                          <w:t xml:space="preserve">Extrapolation</w:t>
                        </w:r>
                      </w:p>
                    </w:tc>
                    <w:tc>
                      <w:tcPr/>
                      <w:p>
                        <w:pPr>
                          <w:pStyle w:val="Compact"/>
                          <w:jc w:val="right"/>
                          <w:jc w:val="center"/>
                          <w:jc w:val="left"/>
                        </w:pPr>
                        <w:r>
                          <w:t xml:space="preserve">1028</w:t>
                        </w:r>
                      </w:p>
                    </w:tc>
                    <w:tc>
                      <w:tcPr/>
                      <w:p>
                        <w:pPr>
                          <w:pStyle w:val="Compact"/>
                          <w:jc w:val="right"/>
                          <w:jc w:val="center"/>
                          <w:jc w:val="left"/>
                        </w:pPr>
                        <w:r>
                          <w:t xml:space="preserve">962</w:t>
                        </w:r>
                      </w:p>
                    </w:tc>
                    <w:tc>
                      <w:tcPr/>
                      <w:p>
                        <w:pPr>
                          <w:pStyle w:val="Compact"/>
                          <w:jc w:val="right"/>
                          <w:jc w:val="center"/>
                          <w:jc w:val="left"/>
                        </w:pPr>
                        <w:r>
                          <w:t xml:space="preserve">482</w:t>
                        </w:r>
                      </w:p>
                    </w:tc>
                  </w:tr>
                  <w:tr>
                    <w:tc>
                      <w:tcPr/>
                      <w:p>
                        <w:pPr>
                          <w:pStyle w:val="Compact"/>
                          <w:jc w:val="left"/>
                          <w:jc w:val="center"/>
                          <w:jc w:val="left"/>
                        </w:pPr>
                        <w:r>
                          <w:t xml:space="preserve">1200-1400</w:t>
                        </w:r>
                      </w:p>
                    </w:tc>
                    <w:tc>
                      <w:tcPr/>
                      <w:p>
                        <w:pPr>
                          <w:pStyle w:val="Compact"/>
                          <w:jc w:val="left"/>
                          <w:jc w:val="center"/>
                          <w:jc w:val="left"/>
                        </w:pPr>
                        <w:r>
                          <w:t xml:space="preserve">Extrapolation</w:t>
                        </w:r>
                      </w:p>
                    </w:tc>
                    <w:tc>
                      <w:tcPr/>
                      <w:p>
                        <w:pPr>
                          <w:pStyle w:val="Compact"/>
                          <w:jc w:val="right"/>
                          <w:jc w:val="center"/>
                          <w:jc w:val="left"/>
                        </w:pPr>
                        <w:r>
                          <w:t xml:space="preserve">1095</w:t>
                        </w:r>
                      </w:p>
                    </w:tc>
                    <w:tc>
                      <w:tcPr/>
                      <w:p>
                        <w:pPr>
                          <w:pStyle w:val="Compact"/>
                          <w:jc w:val="right"/>
                          <w:jc w:val="center"/>
                          <w:jc w:val="left"/>
                        </w:pPr>
                        <w:r>
                          <w:t xml:space="preserve">1051</w:t>
                        </w:r>
                      </w:p>
                    </w:tc>
                    <w:tc>
                      <w:tcPr/>
                      <w:p>
                        <w:pPr>
                          <w:pStyle w:val="Compact"/>
                          <w:jc w:val="right"/>
                          <w:jc w:val="center"/>
                          <w:jc w:val="left"/>
                        </w:pPr>
                        <w:r>
                          <w:t xml:space="preserve">510</w:t>
                        </w:r>
                      </w:p>
                    </w:tc>
                  </w:tr>
                </w:tbl>
                <w:bookmarkEnd w:id="147"/>
                <w:bookmarkEnd w:id="148"/>
                <w:p/>
              </w:tc>
            </w:tr>
          </w:tbl>
          <w:p/>
        </w:tc>
      </w:tr>
    </w:tbl>
    <w:p>
      <w:pPr>
        <w:pStyle w:val="BodyText"/>
      </w:pPr>
      <w:pPr>
        <w:spacing w:before="200"/>
        <w:pStyle w:val="ImageCaption"/>
      </w:pPr>
      <w:r>
        <w:t xml:space="preserve">Table 11: Testing vx - Empirical Summary</w:t>
      </w:r>
    </w:p>
    <w:bookmarkEnd w:id="149"/>
    <w:tbl>
      <w:tblPr>
        <w:tblStyle w:val="Table"/>
        <w:tblW w:type="pct" w:w="5000"/>
        <w:tblLook w:firstRow="0" w:lastRow="0" w:firstColumn="0" w:lastColumn="0" w:noHBand="0" w:noVBand="0" w:val="0000"/>
        <w:jc w:val="start"/>
        <w:tblLayout w:type="fixed"/>
      </w:tblPr>
      <w:tblGrid>
        <w:gridCol w:w="7920"/>
      </w:tblGrid>
      <w:tr>
        <w:tc>
          <w:tcPr/>
          <w:bookmarkStart w:id="150" w:name="tbl-e2-bmm-vx"/>
          <w:p>
            <w:pPr>
              <w:jc w:val="center"/>
            </w:pPr>
            <w:pPr>
              <w:jc w:val="start"/>
              <w:spacing w:before="200"/>
              <w:pStyle w:val="ImageCaption"/>
            </w:pPr>
            <w:r>
              <w:t xml:space="preserve">Table 12: Experiment 2. Bayesian Mixed Model Predicting Vx as a function of condition (Constant vs. Varied) and Velocity Band</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362.64</w:t>
                  </w:r>
                </w:p>
              </w:tc>
              <w:tc>
                <w:tcPr/>
                <w:p>
                  <w:pPr>
                    <w:pStyle w:val="Compact"/>
                    <w:jc w:val="right"/>
                    <w:jc w:val="center"/>
                  </w:pPr>
                  <w:r>
                    <w:t xml:space="preserve">274.85</w:t>
                  </w:r>
                </w:p>
              </w:tc>
              <w:tc>
                <w:tcPr/>
                <w:p>
                  <w:pPr>
                    <w:pStyle w:val="Compact"/>
                    <w:jc w:val="right"/>
                    <w:jc w:val="center"/>
                  </w:pPr>
                  <w:r>
                    <w:t xml:space="preserve">450.02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-8.56</w:t>
                  </w:r>
                </w:p>
              </w:tc>
              <w:tc>
                <w:tcPr/>
                <w:p>
                  <w:pPr>
                    <w:pStyle w:val="Compact"/>
                    <w:jc w:val="right"/>
                    <w:jc w:val="center"/>
                  </w:pPr>
                  <w:r>
                    <w:t xml:space="preserve">-133.97</w:t>
                  </w:r>
                </w:p>
              </w:tc>
              <w:tc>
                <w:tcPr/>
                <w:p>
                  <w:pPr>
                    <w:pStyle w:val="Compact"/>
                    <w:jc w:val="right"/>
                    <w:jc w:val="center"/>
                  </w:pPr>
                  <w:r>
                    <w:t xml:space="preserve">113.98</w:t>
                  </w:r>
                </w:p>
              </w:tc>
              <w:tc>
                <w:tcPr/>
                <w:p>
                  <w:pPr>
                    <w:pStyle w:val="Compact"/>
                    <w:jc w:val="right"/>
                    <w:jc w:val="center"/>
                  </w:pPr>
                  <w:r>
                    <w:t xml:space="preserve">0.55</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0.58</w:t>
                  </w:r>
                </w:p>
              </w:tc>
              <w:tc>
                <w:tcPr/>
                <w:p>
                  <w:pPr>
                    <w:pStyle w:val="Compact"/>
                    <w:jc w:val="right"/>
                    <w:jc w:val="center"/>
                  </w:pPr>
                  <w:r>
                    <w:t xml:space="preserve">0.84</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-0.06</w:t>
                  </w:r>
                </w:p>
              </w:tc>
              <w:tc>
                <w:tcPr/>
                <w:p>
                  <w:pPr>
                    <w:pStyle w:val="Compact"/>
                    <w:jc w:val="right"/>
                    <w:jc w:val="center"/>
                  </w:pPr>
                  <w:r>
                    <w:t xml:space="preserve">-0.24</w:t>
                  </w:r>
                </w:p>
              </w:tc>
              <w:tc>
                <w:tcPr/>
                <w:p>
                  <w:pPr>
                    <w:pStyle w:val="Compact"/>
                    <w:jc w:val="right"/>
                    <w:jc w:val="center"/>
                  </w:pPr>
                  <w:r>
                    <w:t xml:space="preserve">0.13</w:t>
                  </w:r>
                </w:p>
              </w:tc>
              <w:tc>
                <w:tcPr/>
                <w:p>
                  <w:pPr>
                    <w:pStyle w:val="Compact"/>
                    <w:jc w:val="right"/>
                    <w:jc w:val="center"/>
                  </w:pPr>
                  <w:r>
                    <w:t xml:space="preserve">0.73</w:t>
                  </w:r>
                </w:p>
              </w:tc>
            </w:tr>
          </w:tbl>
          <w:bookmarkEnd w:id="150"/>
          <w:p/>
        </w:tc>
      </w:tr>
    </w:tbl>
    <w:p>
      <w:pPr>
        <w:pStyle w:val="BodyText"/>
      </w:pPr>
      <w:r>
        <w:t xml:space="preserve">See</w:t>
      </w:r>
      <w:r>
        <w:t xml:space="preserve"> </w:t>
      </w:r>
      <w:hyperlink w:anchor="tbl-e2-bmm-vx">
        <w:r>
          <w:rPr>
            <w:rStyle w:val="Hyperlink"/>
          </w:rPr>
          <w:t xml:space="preserve">Table 12</w:t>
        </w:r>
      </w:hyperlink>
      <w:r>
        <w:t xml:space="preserve"> </w:t>
      </w:r>
      <w:r>
        <w:t xml:space="preserve">for the full model results.</w:t>
      </w:r>
    </w:p>
    <w:p>
      <w:pPr>
        <w:pStyle w:val="BodyText"/>
      </w:pPr>
      <w:r>
        <w:t xml:space="preserve">When examining discrimination ability using the model predicting raw x-velocity, the results were less clear than those of the absolute deviation analysis. The slope on Velocity Band (β = 0.71, 95% CrI [0.58, 0.84]) indicates that participants showed good discrimination between bands overall. However, the interaction term suggested this effect was not modulated by training condition (β = -0.06, 95% CrI [-0.24, 0.13]) Thus, while varied training may provide some advantage for accuracy, both training conditions seem to have similar abilities to discriminate between velocity bands.</w:t>
      </w:r>
    </w:p>
    <w:tbl>
      <w:tblPr>
        <w:tblStyle w:val="Table"/>
        <w:tblW w:type="pct" w:w="5000"/>
        <w:tblLook w:firstRow="0" w:lastRow="0" w:firstColumn="0" w:lastColumn="0" w:noHBand="0" w:noVBand="0" w:val="0000"/>
        <w:jc w:val="start"/>
        <w:tblLayout w:type="fixed"/>
      </w:tblPr>
      <w:tblGrid>
        <w:gridCol w:w="7920"/>
      </w:tblGrid>
      <w:tr>
        <w:tc>
          <w:tcPr/>
          <w:bookmarkStart w:id="151" w:name="fig-e2-bmm-vx"/>
          <w:p>
            <w:pPr>
              <w:pStyle w:val="Compact"/>
              <w:jc w:val="center"/>
            </w:pPr>
          </w:p>
          <w:p>
            <w:pPr>
              <w:jc w:val="center"/>
            </w:pPr>
            <w:pPr>
              <w:jc w:val="start"/>
              <w:spacing w:before="200"/>
              <w:pStyle w:val="ImageCaption"/>
            </w:pPr>
            <w:r>
              <w:t xml:space="preserve">Figure 20: Conditional effect of training condition and Band. Ribbons indicate 95% HDI.</w:t>
            </w:r>
          </w:p>
          <w:bookmarkEnd w:id="151"/>
        </w:tc>
      </w:tr>
    </w:tbl>
    <w:bookmarkEnd w:id="152"/>
    <w:bookmarkEnd w:id="153"/>
    <w:bookmarkEnd w:id="154"/>
    <w:bookmarkEnd w:id="155"/>
    <w:bookmarkStart w:id="175" w:name="experiment-3"/>
    <w:p>
      <w:pPr>
        <w:pStyle w:val="Heading1"/>
      </w:pPr>
      <w:r>
        <w:t xml:space="preserve">Experiment 3</w:t>
      </w:r>
    </w:p>
    <w:p>
      <w:pPr>
        <w:pStyle w:val="FirstParagraph"/>
      </w:pPr>
      <w:r>
        <w:t xml:space="preserve">The major manipulation adjustment of experiment 3 is for participants to receive ordinal feedback during training, in contrast to the continuous feedback of the earlier experiments. Ordinal feedback informs participants whether a throw was too soft, too hard, or fell within the target velocity range. Experiment 3 participants were randomly assigned to both a training condition (Constant vs. Varied) and a Band Order condition (original order used in Experiment 1, or the Reverse order of Experiment 2).</w:t>
      </w:r>
    </w:p>
    <w:bookmarkStart w:id="174" w:name="results-3"/>
    <w:p>
      <w:pPr>
        <w:pStyle w:val="Heading2"/>
      </w:pPr>
      <w:r>
        <w:t xml:space="preserve">Results</w:t>
      </w:r>
    </w:p>
    <w:bookmarkStart w:id="173" w:name="testing-phase---no-feedback.-2"/>
    <w:p>
      <w:pPr>
        <w:pStyle w:val="Heading3"/>
      </w:pPr>
      <w:r>
        <w:t xml:space="preserve">Testing Phase - No feedback.</w:t>
      </w:r>
    </w:p>
    <w:p>
      <w:pPr>
        <w:pStyle w:val="FirstParagraph"/>
      </w:pPr>
      <w:r>
        <w:t xml:space="preserve">In the first part of the testing phase, participants are tested from each of the velocity bands, and receive no feedback after each throw. Note that these no-feedback testing trials are identical to those of Experiment 1 and 2, as the ordinal feedback only occurs during the training phase, and final testing phase, of Experiment 3.</w:t>
      </w:r>
    </w:p>
    <w:bookmarkStart w:id="164" w:name="deviation-from-target-band-2"/>
    <w:p>
      <w:pPr>
        <w:pStyle w:val="Heading4"/>
      </w:pPr>
      <w:r>
        <w:t xml:space="preserve">Deviation From Target Band</w:t>
      </w:r>
    </w:p>
    <w:p>
      <w:pPr>
        <w:pStyle w:val="FirstParagraph"/>
      </w:pPr>
      <w:r>
        <w:t xml:space="preserve">Descriptive summaries testing deviation data are provided in</w:t>
      </w:r>
      <w:r>
        <w:t xml:space="preserve"> </w:t>
      </w:r>
      <w:hyperlink w:anchor="tbl-e3-test-nf-deviation">
        <w:r>
          <w:rPr>
            <w:rStyle w:val="Hyperlink"/>
          </w:rPr>
          <w:t xml:space="preserve">Table 13</w:t>
        </w:r>
      </w:hyperlink>
      <w:r>
        <w:t xml:space="preserve"> </w:t>
      </w:r>
      <w:r>
        <w:t xml:space="preserve">and</w:t>
      </w:r>
      <w:r>
        <w:t xml:space="preserve"> </w:t>
      </w:r>
      <w:hyperlink w:anchor="fig-e3-test-dev">
        <w:r>
          <w:rPr>
            <w:rStyle w:val="Hyperlink"/>
          </w:rPr>
          <w:t xml:space="preserve">Figure 21</w:t>
        </w:r>
      </w:hyperlink>
      <w:r>
        <w:t xml:space="preserve">.</w:t>
      </w:r>
      <w:r>
        <w:t xml:space="preserve"> </w:t>
      </w:r>
      <w:r>
        <w:t xml:space="preserve">To model differences in accuracy between groups, we fit Bayesian mixed effects regression models to the trial level data from the testing phase. The primary model predicted the absolute deviation from the target velocity band (dist) as a function of training condition (condit), target velocity band (band), and their interaction, with random intercepts and slopes for each participant (id).</w:t>
      </w:r>
    </w:p>
    <w:tbl>
      <w:tblPr>
        <w:tblStyle w:val="Table"/>
        <w:tblW w:type="pct" w:w="5000"/>
        <w:tblLook w:firstRow="0" w:lastRow="0" w:firstColumn="0" w:lastColumn="0" w:noHBand="0" w:noVBand="0" w:val="0000"/>
        <w:jc w:val="start"/>
        <w:tblLayout w:type="fixed"/>
      </w:tblPr>
      <w:tblGrid>
        <w:gridCol w:w="7920"/>
      </w:tblGrid>
      <w:tr>
        <w:tc>
          <w:tcPr/>
          <w:bookmarkStart w:id="160" w:name="tbl-e3-test-nf-deviation"/>
          <w:p>
            <w:pPr>
              <w:jc w:val="center"/>
            </w:pPr>
            <w:pPr>
              <w:jc w:val="start"/>
              <w:spacing w:before="200"/>
              <w:pStyle w:val="ImageCaption"/>
            </w:pPr>
            <w:r>
              <w:t xml:space="preserve">Table 13: Testing Deviation - Empirical Summary</w:t>
            </w:r>
          </w:p>
          <w:tbl>
            <w:tblPr>
              <w:tblStyle w:val="Table"/>
              <w:tblW w:type="pct" w:w="5000"/>
              <w:tblLook w:firstRow="0" w:lastRow="0" w:firstColumn="0" w:lastColumn="0" w:noHBand="0" w:noVBand="0" w:val="0000"/>
              <w:jc w:val="start"/>
              <w:tblLayout w:type="fixed"/>
            </w:tblPr>
            <w:tblGrid>
              <w:gridCol w:w="7920"/>
            </w:tblGrid>
            <w:tr>
              <w:tc>
                <w:tcPr/>
                <w:bookmarkStart w:id="157" w:name="tbl-e3-test-nf-deviation-1"/>
                <w:p>
                  <w:pPr>
                    <w:jc w:val="center"/>
                    <w:jc w:val="center"/>
                  </w:pPr>
                  <w:pPr>
                    <w:jc w:val="start"/>
                    <w:spacing w:before="200"/>
                    <w:pStyle w:val="ImageCaption"/>
                  </w:pPr>
                  <w:r>
                    <w:t xml:space="preserve">(a) Constant Testing - Deviation</w:t>
                  </w:r>
                </w:p>
                <w:bookmarkStart w:id="156" w:name="tbl-e3-test-nf-deviation-1"/>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Band</w:t>
                        </w:r>
                      </w:p>
                    </w:tc>
                    <w:tc>
                      <w:tcPr/>
                      <w:p>
                        <w:pPr>
                          <w:pStyle w:val="Compact"/>
                          <w:jc w:val="left"/>
                          <w:jc w:val="center"/>
                          <w:jc w:val="center"/>
                        </w:pPr>
                        <w:r>
                          <w:t xml:space="preserve">Band Type</w:t>
                        </w:r>
                      </w:p>
                    </w:tc>
                    <w:tc>
                      <w:tcPr/>
                      <w:p>
                        <w:pPr>
                          <w:pStyle w:val="Compact"/>
                          <w:jc w:val="right"/>
                          <w:jc w:val="center"/>
                          <w:jc w:val="center"/>
                        </w:pPr>
                        <w:r>
                          <w:t xml:space="preserve">Mean</w:t>
                        </w:r>
                      </w:p>
                    </w:tc>
                    <w:tc>
                      <w:tcPr/>
                      <w:p>
                        <w:pPr>
                          <w:pStyle w:val="Compact"/>
                          <w:jc w:val="right"/>
                          <w:jc w:val="center"/>
                          <w:jc w:val="center"/>
                        </w:pPr>
                        <w:r>
                          <w:t xml:space="preserve">Median</w:t>
                        </w:r>
                      </w:p>
                    </w:tc>
                    <w:tc>
                      <w:tcPr/>
                      <w:p>
                        <w:pPr>
                          <w:pStyle w:val="Compact"/>
                          <w:jc w:val="right"/>
                          <w:jc w:val="center"/>
                          <w:jc w:val="center"/>
                        </w:pPr>
                        <w:r>
                          <w:t xml:space="preserve">Sd</w:t>
                        </w:r>
                      </w:p>
                    </w:tc>
                  </w:tr>
                  <w:tr>
                    <w:tc>
                      <w:tcPr/>
                      <w:p>
                        <w:pPr>
                          <w:pStyle w:val="Compact"/>
                          <w:jc w:val="left"/>
                          <w:jc w:val="center"/>
                          <w:jc w:val="center"/>
                        </w:pPr>
                        <w:r>
                          <w:t xml:space="preserve">100-300</w:t>
                        </w:r>
                      </w:p>
                    </w:tc>
                    <w:tc>
                      <w:tcPr/>
                      <w:p>
                        <w:pPr>
                          <w:pStyle w:val="Compact"/>
                          <w:jc w:val="left"/>
                          <w:jc w:val="center"/>
                          <w:jc w:val="center"/>
                        </w:pPr>
                        <w:r>
                          <w:t xml:space="preserve">Extrapolation</w:t>
                        </w:r>
                      </w:p>
                    </w:tc>
                    <w:tc>
                      <w:tcPr/>
                      <w:p>
                        <w:pPr>
                          <w:pStyle w:val="Compact"/>
                          <w:jc w:val="right"/>
                          <w:jc w:val="center"/>
                          <w:jc w:val="center"/>
                        </w:pPr>
                        <w:r>
                          <w:t xml:space="preserve">396</w:t>
                        </w:r>
                      </w:p>
                    </w:tc>
                    <w:tc>
                      <w:tcPr/>
                      <w:p>
                        <w:pPr>
                          <w:pStyle w:val="Compact"/>
                          <w:jc w:val="right"/>
                          <w:jc w:val="center"/>
                          <w:jc w:val="center"/>
                        </w:pPr>
                        <w:r>
                          <w:t xml:space="preserve">325</w:t>
                        </w:r>
                      </w:p>
                    </w:tc>
                    <w:tc>
                      <w:tcPr/>
                      <w:p>
                        <w:pPr>
                          <w:pStyle w:val="Compact"/>
                          <w:jc w:val="right"/>
                          <w:jc w:val="center"/>
                          <w:jc w:val="center"/>
                        </w:pPr>
                        <w:r>
                          <w:t xml:space="preserve">350</w:t>
                        </w:r>
                      </w:p>
                    </w:tc>
                  </w:tr>
                  <w:tr>
                    <w:tc>
                      <w:tcPr/>
                      <w:p>
                        <w:pPr>
                          <w:pStyle w:val="Compact"/>
                          <w:jc w:val="left"/>
                          <w:jc w:val="center"/>
                          <w:jc w:val="center"/>
                        </w:pPr>
                        <w:r>
                          <w:t xml:space="preserve">350-550</w:t>
                        </w:r>
                      </w:p>
                    </w:tc>
                    <w:tc>
                      <w:tcPr/>
                      <w:p>
                        <w:pPr>
                          <w:pStyle w:val="Compact"/>
                          <w:jc w:val="left"/>
                          <w:jc w:val="center"/>
                          <w:jc w:val="center"/>
                        </w:pPr>
                        <w:r>
                          <w:t xml:space="preserve">Extrapolation</w:t>
                        </w:r>
                      </w:p>
                    </w:tc>
                    <w:tc>
                      <w:tcPr/>
                      <w:p>
                        <w:pPr>
                          <w:pStyle w:val="Compact"/>
                          <w:jc w:val="right"/>
                          <w:jc w:val="center"/>
                          <w:jc w:val="center"/>
                        </w:pPr>
                        <w:r>
                          <w:t xml:space="preserve">278</w:t>
                        </w:r>
                      </w:p>
                    </w:tc>
                    <w:tc>
                      <w:tcPr/>
                      <w:p>
                        <w:pPr>
                          <w:pStyle w:val="Compact"/>
                          <w:jc w:val="right"/>
                          <w:jc w:val="center"/>
                          <w:jc w:val="center"/>
                        </w:pPr>
                        <w:r>
                          <w:t xml:space="preserve">176</w:t>
                        </w:r>
                      </w:p>
                    </w:tc>
                    <w:tc>
                      <w:tcPr/>
                      <w:p>
                        <w:pPr>
                          <w:pStyle w:val="Compact"/>
                          <w:jc w:val="right"/>
                          <w:jc w:val="center"/>
                          <w:jc w:val="center"/>
                        </w:pPr>
                        <w:r>
                          <w:t xml:space="preserve">299</w:t>
                        </w:r>
                      </w:p>
                    </w:tc>
                  </w:tr>
                  <w:tr>
                    <w:tc>
                      <w:tcPr/>
                      <w:p>
                        <w:pPr>
                          <w:pStyle w:val="Compact"/>
                          <w:jc w:val="left"/>
                          <w:jc w:val="center"/>
                          <w:jc w:val="center"/>
                        </w:pPr>
                        <w:r>
                          <w:t xml:space="preserve">600-800</w:t>
                        </w:r>
                      </w:p>
                    </w:tc>
                    <w:tc>
                      <w:tcPr/>
                      <w:p>
                        <w:pPr>
                          <w:pStyle w:val="Compact"/>
                          <w:jc w:val="left"/>
                          <w:jc w:val="center"/>
                          <w:jc w:val="center"/>
                        </w:pPr>
                        <w:r>
                          <w:t xml:space="preserve">Extrapolation</w:t>
                        </w:r>
                      </w:p>
                    </w:tc>
                    <w:tc>
                      <w:tcPr/>
                      <w:p>
                        <w:pPr>
                          <w:pStyle w:val="Compact"/>
                          <w:jc w:val="right"/>
                          <w:jc w:val="center"/>
                          <w:jc w:val="center"/>
                        </w:pPr>
                        <w:r>
                          <w:t xml:space="preserve">173</w:t>
                        </w:r>
                      </w:p>
                    </w:tc>
                    <w:tc>
                      <w:tcPr/>
                      <w:p>
                        <w:pPr>
                          <w:pStyle w:val="Compact"/>
                          <w:jc w:val="right"/>
                          <w:jc w:val="center"/>
                          <w:jc w:val="center"/>
                        </w:pPr>
                        <w:r>
                          <w:t xml:space="preserve">102</w:t>
                        </w:r>
                      </w:p>
                    </w:tc>
                    <w:tc>
                      <w:tcPr/>
                      <w:p>
                        <w:pPr>
                          <w:pStyle w:val="Compact"/>
                          <w:jc w:val="right"/>
                          <w:jc w:val="center"/>
                          <w:jc w:val="center"/>
                        </w:pPr>
                        <w:r>
                          <w:t xml:space="preserve">215</w:t>
                        </w:r>
                      </w:p>
                    </w:tc>
                  </w:tr>
                  <w:tr>
                    <w:tc>
                      <w:tcPr/>
                      <w:p>
                        <w:pPr>
                          <w:pStyle w:val="Compact"/>
                          <w:jc w:val="left"/>
                          <w:jc w:val="center"/>
                          <w:jc w:val="center"/>
                        </w:pPr>
                        <w:r>
                          <w:t xml:space="preserve">800-1000</w:t>
                        </w:r>
                      </w:p>
                    </w:tc>
                    <w:tc>
                      <w:tcPr/>
                      <w:p>
                        <w:pPr>
                          <w:pStyle w:val="Compact"/>
                          <w:jc w:val="left"/>
                          <w:jc w:val="center"/>
                          <w:jc w:val="center"/>
                        </w:pPr>
                        <w:r>
                          <w:t xml:space="preserve">Trained</w:t>
                        </w:r>
                      </w:p>
                    </w:tc>
                    <w:tc>
                      <w:tcPr/>
                      <w:p>
                        <w:pPr>
                          <w:pStyle w:val="Compact"/>
                          <w:jc w:val="right"/>
                          <w:jc w:val="center"/>
                          <w:jc w:val="center"/>
                        </w:pPr>
                        <w:r>
                          <w:t xml:space="preserve">225</w:t>
                        </w:r>
                      </w:p>
                    </w:tc>
                    <w:tc>
                      <w:tcPr/>
                      <w:p>
                        <w:pPr>
                          <w:pStyle w:val="Compact"/>
                          <w:jc w:val="right"/>
                          <w:jc w:val="center"/>
                          <w:jc w:val="center"/>
                        </w:pPr>
                        <w:r>
                          <w:t xml:space="preserve">126</w:t>
                        </w:r>
                      </w:p>
                    </w:tc>
                    <w:tc>
                      <w:tcPr/>
                      <w:p>
                        <w:pPr>
                          <w:pStyle w:val="Compact"/>
                          <w:jc w:val="right"/>
                          <w:jc w:val="center"/>
                          <w:jc w:val="center"/>
                        </w:pPr>
                        <w:r>
                          <w:t xml:space="preserve">284</w:t>
                        </w:r>
                      </w:p>
                    </w:tc>
                  </w:tr>
                  <w:tr>
                    <w:tc>
                      <w:tcPr/>
                      <w:p>
                        <w:pPr>
                          <w:pStyle w:val="Compact"/>
                          <w:jc w:val="left"/>
                          <w:jc w:val="center"/>
                          <w:jc w:val="center"/>
                        </w:pPr>
                        <w:r>
                          <w:t xml:space="preserve">1000-1200</w:t>
                        </w:r>
                      </w:p>
                    </w:tc>
                    <w:tc>
                      <w:tcPr/>
                      <w:p>
                        <w:pPr>
                          <w:pStyle w:val="Compact"/>
                          <w:jc w:val="left"/>
                          <w:jc w:val="center"/>
                          <w:jc w:val="center"/>
                        </w:pPr>
                        <w:r>
                          <w:t xml:space="preserve">Extrapolation</w:t>
                        </w:r>
                      </w:p>
                    </w:tc>
                    <w:tc>
                      <w:tcPr/>
                      <w:p>
                        <w:pPr>
                          <w:pStyle w:val="Compact"/>
                          <w:jc w:val="right"/>
                          <w:jc w:val="center"/>
                          <w:jc w:val="center"/>
                        </w:pPr>
                        <w:r>
                          <w:t xml:space="preserve">253</w:t>
                        </w:r>
                      </w:p>
                    </w:tc>
                    <w:tc>
                      <w:tcPr/>
                      <w:p>
                        <w:pPr>
                          <w:pStyle w:val="Compact"/>
                          <w:jc w:val="right"/>
                          <w:jc w:val="center"/>
                          <w:jc w:val="center"/>
                        </w:pPr>
                        <w:r>
                          <w:t xml:space="preserve">192</w:t>
                        </w:r>
                      </w:p>
                    </w:tc>
                    <w:tc>
                      <w:tcPr/>
                      <w:p>
                        <w:pPr>
                          <w:pStyle w:val="Compact"/>
                          <w:jc w:val="right"/>
                          <w:jc w:val="center"/>
                          <w:jc w:val="center"/>
                        </w:pPr>
                        <w:r>
                          <w:t xml:space="preserve">271</w:t>
                        </w:r>
                      </w:p>
                    </w:tc>
                  </w:tr>
                  <w:tr>
                    <w:tc>
                      <w:tcPr/>
                      <w:p>
                        <w:pPr>
                          <w:pStyle w:val="Compact"/>
                          <w:jc w:val="left"/>
                          <w:jc w:val="center"/>
                          <w:jc w:val="center"/>
                        </w:pPr>
                        <w:r>
                          <w:t xml:space="preserve">1200-1400</w:t>
                        </w:r>
                      </w:p>
                    </w:tc>
                    <w:tc>
                      <w:tcPr/>
                      <w:p>
                        <w:pPr>
                          <w:pStyle w:val="Compact"/>
                          <w:jc w:val="left"/>
                          <w:jc w:val="center"/>
                          <w:jc w:val="center"/>
                        </w:pPr>
                        <w:r>
                          <w:t xml:space="preserve">Extrapolation</w:t>
                        </w:r>
                      </w:p>
                    </w:tc>
                    <w:tc>
                      <w:tcPr/>
                      <w:p>
                        <w:pPr>
                          <w:pStyle w:val="Compact"/>
                          <w:jc w:val="right"/>
                          <w:jc w:val="center"/>
                          <w:jc w:val="center"/>
                        </w:pPr>
                        <w:r>
                          <w:t xml:space="preserve">277</w:t>
                        </w:r>
                      </w:p>
                    </w:tc>
                    <w:tc>
                      <w:tcPr/>
                      <w:p>
                        <w:pPr>
                          <w:pStyle w:val="Compact"/>
                          <w:jc w:val="right"/>
                          <w:jc w:val="center"/>
                          <w:jc w:val="center"/>
                        </w:pPr>
                        <w:r>
                          <w:t xml:space="preserve">210</w:t>
                        </w:r>
                      </w:p>
                    </w:tc>
                    <w:tc>
                      <w:tcPr/>
                      <w:p>
                        <w:pPr>
                          <w:pStyle w:val="Compact"/>
                          <w:jc w:val="right"/>
                          <w:jc w:val="center"/>
                          <w:jc w:val="center"/>
                        </w:pPr>
                        <w:r>
                          <w:t xml:space="preserve">262</w:t>
                        </w:r>
                      </w:p>
                    </w:tc>
                  </w:tr>
                </w:tbl>
                <w:bookmarkEnd w:id="156"/>
                <w:bookmarkEnd w:id="157"/>
                <w:p/>
              </w:tc>
            </w:tr>
          </w:tbl>
          <w:tbl>
            <w:tblPr>
              <w:tblStyle w:val="Table"/>
              <w:tblW w:type="pct" w:w="5000"/>
              <w:tblLook w:firstRow="0" w:lastRow="0" w:firstColumn="0" w:lastColumn="0" w:noHBand="0" w:noVBand="0" w:val="0000"/>
              <w:jc w:val="start"/>
              <w:tblLayout w:type="fixed"/>
            </w:tblPr>
            <w:tblGrid>
              <w:gridCol w:w="7920"/>
            </w:tblGrid>
            <w:tr>
              <w:tc>
                <w:tcPr/>
                <w:bookmarkStart w:id="159" w:name="tbl-e3-test-nf-deviation-2"/>
                <w:p>
                  <w:pPr>
                    <w:jc w:val="center"/>
                    <w:jc w:val="center"/>
                  </w:pPr>
                  <w:pPr>
                    <w:jc w:val="start"/>
                    <w:spacing w:before="200"/>
                    <w:pStyle w:val="ImageCaption"/>
                  </w:pPr>
                  <w:r>
                    <w:t xml:space="preserve">(b) Varied Testing - Deviation</w:t>
                  </w:r>
                </w:p>
                <w:bookmarkStart w:id="158" w:name="tbl-e3-test-nf-deviation-2"/>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Band</w:t>
                        </w:r>
                      </w:p>
                    </w:tc>
                    <w:tc>
                      <w:tcPr/>
                      <w:p>
                        <w:pPr>
                          <w:pStyle w:val="Compact"/>
                          <w:jc w:val="left"/>
                          <w:jc w:val="center"/>
                          <w:jc w:val="center"/>
                        </w:pPr>
                        <w:r>
                          <w:t xml:space="preserve">Band Type</w:t>
                        </w:r>
                      </w:p>
                    </w:tc>
                    <w:tc>
                      <w:tcPr/>
                      <w:p>
                        <w:pPr>
                          <w:pStyle w:val="Compact"/>
                          <w:jc w:val="right"/>
                          <w:jc w:val="center"/>
                          <w:jc w:val="center"/>
                        </w:pPr>
                        <w:r>
                          <w:t xml:space="preserve">Mean</w:t>
                        </w:r>
                      </w:p>
                    </w:tc>
                    <w:tc>
                      <w:tcPr/>
                      <w:p>
                        <w:pPr>
                          <w:pStyle w:val="Compact"/>
                          <w:jc w:val="right"/>
                          <w:jc w:val="center"/>
                          <w:jc w:val="center"/>
                        </w:pPr>
                        <w:r>
                          <w:t xml:space="preserve">Median</w:t>
                        </w:r>
                      </w:p>
                    </w:tc>
                    <w:tc>
                      <w:tcPr/>
                      <w:p>
                        <w:pPr>
                          <w:pStyle w:val="Compact"/>
                          <w:jc w:val="right"/>
                          <w:jc w:val="center"/>
                          <w:jc w:val="center"/>
                        </w:pPr>
                        <w:r>
                          <w:t xml:space="preserve">Sd</w:t>
                        </w:r>
                      </w:p>
                    </w:tc>
                  </w:tr>
                  <w:tr>
                    <w:tc>
                      <w:tcPr/>
                      <w:p>
                        <w:pPr>
                          <w:pStyle w:val="Compact"/>
                          <w:jc w:val="left"/>
                          <w:jc w:val="center"/>
                          <w:jc w:val="center"/>
                        </w:pPr>
                        <w:r>
                          <w:t xml:space="preserve">100-300</w:t>
                        </w:r>
                      </w:p>
                    </w:tc>
                    <w:tc>
                      <w:tcPr/>
                      <w:p>
                        <w:pPr>
                          <w:pStyle w:val="Compact"/>
                          <w:jc w:val="left"/>
                          <w:jc w:val="center"/>
                          <w:jc w:val="center"/>
                        </w:pPr>
                        <w:r>
                          <w:t xml:space="preserve">Extrapolation</w:t>
                        </w:r>
                      </w:p>
                    </w:tc>
                    <w:tc>
                      <w:tcPr/>
                      <w:p>
                        <w:pPr>
                          <w:pStyle w:val="Compact"/>
                          <w:jc w:val="right"/>
                          <w:jc w:val="center"/>
                          <w:jc w:val="center"/>
                        </w:pPr>
                        <w:r>
                          <w:t xml:space="preserve">383</w:t>
                        </w:r>
                      </w:p>
                    </w:tc>
                    <w:tc>
                      <w:tcPr/>
                      <w:p>
                        <w:pPr>
                          <w:pStyle w:val="Compact"/>
                          <w:jc w:val="right"/>
                          <w:jc w:val="center"/>
                          <w:jc w:val="center"/>
                        </w:pPr>
                        <w:r>
                          <w:t xml:space="preserve">254</w:t>
                        </w:r>
                      </w:p>
                    </w:tc>
                    <w:tc>
                      <w:tcPr/>
                      <w:p>
                        <w:pPr>
                          <w:pStyle w:val="Compact"/>
                          <w:jc w:val="right"/>
                          <w:jc w:val="center"/>
                          <w:jc w:val="center"/>
                        </w:pPr>
                        <w:r>
                          <w:t xml:space="preserve">385</w:t>
                        </w:r>
                      </w:p>
                    </w:tc>
                  </w:tr>
                  <w:tr>
                    <w:tc>
                      <w:tcPr/>
                      <w:p>
                        <w:pPr>
                          <w:pStyle w:val="Compact"/>
                          <w:jc w:val="left"/>
                          <w:jc w:val="center"/>
                          <w:jc w:val="center"/>
                        </w:pPr>
                        <w:r>
                          <w:t xml:space="preserve">350-550</w:t>
                        </w:r>
                      </w:p>
                    </w:tc>
                    <w:tc>
                      <w:tcPr/>
                      <w:p>
                        <w:pPr>
                          <w:pStyle w:val="Compact"/>
                          <w:jc w:val="left"/>
                          <w:jc w:val="center"/>
                          <w:jc w:val="center"/>
                        </w:pPr>
                        <w:r>
                          <w:t xml:space="preserve">Extrapolation</w:t>
                        </w:r>
                      </w:p>
                    </w:tc>
                    <w:tc>
                      <w:tcPr/>
                      <w:p>
                        <w:pPr>
                          <w:pStyle w:val="Compact"/>
                          <w:jc w:val="right"/>
                          <w:jc w:val="center"/>
                          <w:jc w:val="center"/>
                        </w:pPr>
                        <w:r>
                          <w:t xml:space="preserve">287</w:t>
                        </w:r>
                      </w:p>
                    </w:tc>
                    <w:tc>
                      <w:tcPr/>
                      <w:p>
                        <w:pPr>
                          <w:pStyle w:val="Compact"/>
                          <w:jc w:val="right"/>
                          <w:jc w:val="center"/>
                          <w:jc w:val="center"/>
                        </w:pPr>
                        <w:r>
                          <w:t xml:space="preserve">154</w:t>
                        </w:r>
                      </w:p>
                    </w:tc>
                    <w:tc>
                      <w:tcPr/>
                      <w:p>
                        <w:pPr>
                          <w:pStyle w:val="Compact"/>
                          <w:jc w:val="right"/>
                          <w:jc w:val="center"/>
                          <w:jc w:val="center"/>
                        </w:pPr>
                        <w:r>
                          <w:t xml:space="preserve">318</w:t>
                        </w:r>
                      </w:p>
                    </w:tc>
                  </w:tr>
                  <w:tr>
                    <w:tc>
                      <w:tcPr/>
                      <w:p>
                        <w:pPr>
                          <w:pStyle w:val="Compact"/>
                          <w:jc w:val="left"/>
                          <w:jc w:val="center"/>
                          <w:jc w:val="center"/>
                        </w:pPr>
                        <w:r>
                          <w:t xml:space="preserve">600-800</w:t>
                        </w:r>
                      </w:p>
                    </w:tc>
                    <w:tc>
                      <w:tcPr/>
                      <w:p>
                        <w:pPr>
                          <w:pStyle w:val="Compact"/>
                          <w:jc w:val="left"/>
                          <w:jc w:val="center"/>
                          <w:jc w:val="center"/>
                        </w:pPr>
                        <w:r>
                          <w:t xml:space="preserve">Extrapolation</w:t>
                        </w:r>
                      </w:p>
                    </w:tc>
                    <w:tc>
                      <w:tcPr/>
                      <w:p>
                        <w:pPr>
                          <w:pStyle w:val="Compact"/>
                          <w:jc w:val="right"/>
                          <w:jc w:val="center"/>
                          <w:jc w:val="center"/>
                        </w:pPr>
                        <w:r>
                          <w:t xml:space="preserve">213</w:t>
                        </w:r>
                      </w:p>
                    </w:tc>
                    <w:tc>
                      <w:tcPr/>
                      <w:p>
                        <w:pPr>
                          <w:pStyle w:val="Compact"/>
                          <w:jc w:val="right"/>
                          <w:jc w:val="center"/>
                          <w:jc w:val="center"/>
                        </w:pPr>
                        <w:r>
                          <w:t xml:space="preserve">140</w:t>
                        </w:r>
                      </w:p>
                    </w:tc>
                    <w:tc>
                      <w:tcPr/>
                      <w:p>
                        <w:pPr>
                          <w:pStyle w:val="Compact"/>
                          <w:jc w:val="right"/>
                          <w:jc w:val="center"/>
                          <w:jc w:val="center"/>
                        </w:pPr>
                        <w:r>
                          <w:t xml:space="preserve">244</w:t>
                        </w:r>
                      </w:p>
                    </w:tc>
                  </w:tr>
                  <w:tr>
                    <w:tc>
                      <w:tcPr/>
                      <w:p>
                        <w:pPr>
                          <w:pStyle w:val="Compact"/>
                          <w:jc w:val="left"/>
                          <w:jc w:val="center"/>
                          <w:jc w:val="center"/>
                        </w:pPr>
                        <w:r>
                          <w:t xml:space="preserve">800-1000</w:t>
                        </w:r>
                      </w:p>
                    </w:tc>
                    <w:tc>
                      <w:tcPr/>
                      <w:p>
                        <w:pPr>
                          <w:pStyle w:val="Compact"/>
                          <w:jc w:val="left"/>
                          <w:jc w:val="center"/>
                          <w:jc w:val="center"/>
                        </w:pPr>
                        <w:r>
                          <w:t xml:space="preserve">Trained</w:t>
                        </w:r>
                      </w:p>
                    </w:tc>
                    <w:tc>
                      <w:tcPr/>
                      <w:p>
                        <w:pPr>
                          <w:pStyle w:val="Compact"/>
                          <w:jc w:val="right"/>
                          <w:jc w:val="center"/>
                          <w:jc w:val="center"/>
                        </w:pPr>
                        <w:r>
                          <w:t xml:space="preserve">199</w:t>
                        </w:r>
                      </w:p>
                    </w:tc>
                    <w:tc>
                      <w:tcPr/>
                      <w:p>
                        <w:pPr>
                          <w:pStyle w:val="Compact"/>
                          <w:jc w:val="right"/>
                          <w:jc w:val="center"/>
                          <w:jc w:val="center"/>
                        </w:pPr>
                        <w:r>
                          <w:t xml:space="preserve">142</w:t>
                        </w:r>
                      </w:p>
                    </w:tc>
                    <w:tc>
                      <w:tcPr/>
                      <w:p>
                        <w:pPr>
                          <w:pStyle w:val="Compact"/>
                          <w:jc w:val="right"/>
                          <w:jc w:val="center"/>
                          <w:jc w:val="center"/>
                        </w:pPr>
                        <w:r>
                          <w:t xml:space="preserve">209</w:t>
                        </w:r>
                      </w:p>
                    </w:tc>
                  </w:tr>
                  <w:tr>
                    <w:tc>
                      <w:tcPr/>
                      <w:p>
                        <w:pPr>
                          <w:pStyle w:val="Compact"/>
                          <w:jc w:val="left"/>
                          <w:jc w:val="center"/>
                          <w:jc w:val="center"/>
                        </w:pPr>
                        <w:r>
                          <w:t xml:space="preserve">1000-1200</w:t>
                        </w:r>
                      </w:p>
                    </w:tc>
                    <w:tc>
                      <w:tcPr/>
                      <w:p>
                        <w:pPr>
                          <w:pStyle w:val="Compact"/>
                          <w:jc w:val="left"/>
                          <w:jc w:val="center"/>
                          <w:jc w:val="center"/>
                        </w:pPr>
                        <w:r>
                          <w:t xml:space="preserve">Trained</w:t>
                        </w:r>
                      </w:p>
                    </w:tc>
                    <w:tc>
                      <w:tcPr/>
                      <w:p>
                        <w:pPr>
                          <w:pStyle w:val="Compact"/>
                          <w:jc w:val="right"/>
                          <w:jc w:val="center"/>
                          <w:jc w:val="center"/>
                        </w:pPr>
                        <w:r>
                          <w:t xml:space="preserve">222</w:t>
                        </w:r>
                      </w:p>
                    </w:tc>
                    <w:tc>
                      <w:tcPr/>
                      <w:p>
                        <w:pPr>
                          <w:pStyle w:val="Compact"/>
                          <w:jc w:val="right"/>
                          <w:jc w:val="center"/>
                          <w:jc w:val="center"/>
                        </w:pPr>
                        <w:r>
                          <w:t xml:space="preserve">163</w:t>
                        </w:r>
                      </w:p>
                    </w:tc>
                    <w:tc>
                      <w:tcPr/>
                      <w:p>
                        <w:pPr>
                          <w:pStyle w:val="Compact"/>
                          <w:jc w:val="right"/>
                          <w:jc w:val="center"/>
                          <w:jc w:val="center"/>
                        </w:pPr>
                        <w:r>
                          <w:t xml:space="preserve">221</w:t>
                        </w:r>
                      </w:p>
                    </w:tc>
                  </w:tr>
                  <w:tr>
                    <w:tc>
                      <w:tcPr/>
                      <w:p>
                        <w:pPr>
                          <w:pStyle w:val="Compact"/>
                          <w:jc w:val="left"/>
                          <w:jc w:val="center"/>
                          <w:jc w:val="center"/>
                        </w:pPr>
                        <w:r>
                          <w:t xml:space="preserve">1200-1400</w:t>
                        </w:r>
                      </w:p>
                    </w:tc>
                    <w:tc>
                      <w:tcPr/>
                      <w:p>
                        <w:pPr>
                          <w:pStyle w:val="Compact"/>
                          <w:jc w:val="left"/>
                          <w:jc w:val="center"/>
                          <w:jc w:val="center"/>
                        </w:pPr>
                        <w:r>
                          <w:t xml:space="preserve">Trained</w:t>
                        </w:r>
                      </w:p>
                    </w:tc>
                    <w:tc>
                      <w:tcPr/>
                      <w:p>
                        <w:pPr>
                          <w:pStyle w:val="Compact"/>
                          <w:jc w:val="right"/>
                          <w:jc w:val="center"/>
                          <w:jc w:val="center"/>
                        </w:pPr>
                        <w:r>
                          <w:t xml:space="preserve">281</w:t>
                        </w:r>
                      </w:p>
                    </w:tc>
                    <w:tc>
                      <w:tcPr/>
                      <w:p>
                        <w:pPr>
                          <w:pStyle w:val="Compact"/>
                          <w:jc w:val="right"/>
                          <w:jc w:val="center"/>
                          <w:jc w:val="center"/>
                        </w:pPr>
                        <w:r>
                          <w:t xml:space="preserve">227</w:t>
                        </w:r>
                      </w:p>
                    </w:tc>
                    <w:tc>
                      <w:tcPr/>
                      <w:p>
                        <w:pPr>
                          <w:pStyle w:val="Compact"/>
                          <w:jc w:val="right"/>
                          <w:jc w:val="center"/>
                          <w:jc w:val="center"/>
                        </w:pPr>
                        <w:r>
                          <w:t xml:space="preserve">246</w:t>
                        </w:r>
                      </w:p>
                    </w:tc>
                  </w:tr>
                </w:tbl>
                <w:bookmarkEnd w:id="158"/>
                <w:bookmarkEnd w:id="159"/>
                <w:p/>
              </w:tc>
            </w:tr>
          </w:tbl>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Band</w:t>
                  </w:r>
                </w:p>
              </w:tc>
              <w:tc>
                <w:tcPr/>
                <w:p>
                  <w:pPr>
                    <w:pStyle w:val="Compact"/>
                    <w:jc w:val="left"/>
                    <w:jc w:val="center"/>
                  </w:pPr>
                  <w:r>
                    <w:t xml:space="preserve">Band Type</w:t>
                  </w:r>
                </w:p>
              </w:tc>
              <w:tc>
                <w:tcPr/>
                <w:p>
                  <w:pPr>
                    <w:pStyle w:val="Compact"/>
                    <w:jc w:val="right"/>
                    <w:jc w:val="center"/>
                  </w:pPr>
                  <w:r>
                    <w:t xml:space="preserve">Mean</w:t>
                  </w:r>
                </w:p>
              </w:tc>
              <w:tc>
                <w:tcPr/>
                <w:p>
                  <w:pPr>
                    <w:pStyle w:val="Compact"/>
                    <w:jc w:val="right"/>
                    <w:jc w:val="center"/>
                  </w:pPr>
                  <w:r>
                    <w:t xml:space="preserve">Median</w:t>
                  </w:r>
                </w:p>
              </w:tc>
              <w:tc>
                <w:tcPr/>
                <w:p>
                  <w:pPr>
                    <w:pStyle w:val="Compact"/>
                    <w:jc w:val="right"/>
                    <w:jc w:val="center"/>
                  </w:pPr>
                  <w:r>
                    <w:t xml:space="preserve">Sd</w:t>
                  </w:r>
                </w:p>
              </w:tc>
            </w:tr>
            <w:tr>
              <w:tc>
                <w:tcPr/>
                <w:p>
                  <w:pPr>
                    <w:pStyle w:val="Compact"/>
                    <w:jc w:val="left"/>
                    <w:jc w:val="center"/>
                  </w:pPr>
                  <w:r>
                    <w:t xml:space="preserve">100-300</w:t>
                  </w:r>
                </w:p>
              </w:tc>
              <w:tc>
                <w:tcPr/>
                <w:p>
                  <w:pPr>
                    <w:pStyle w:val="Compact"/>
                    <w:jc w:val="left"/>
                    <w:jc w:val="center"/>
                  </w:pPr>
                  <w:r>
                    <w:t xml:space="preserve">Extrapolation</w:t>
                  </w:r>
                </w:p>
              </w:tc>
              <w:tc>
                <w:tcPr/>
                <w:p>
                  <w:pPr>
                    <w:pStyle w:val="Compact"/>
                    <w:jc w:val="right"/>
                    <w:jc w:val="center"/>
                  </w:pPr>
                  <w:r>
                    <w:t xml:space="preserve">403</w:t>
                  </w:r>
                </w:p>
              </w:tc>
              <w:tc>
                <w:tcPr/>
                <w:p>
                  <w:pPr>
                    <w:pStyle w:val="Compact"/>
                    <w:jc w:val="right"/>
                    <w:jc w:val="center"/>
                  </w:pPr>
                  <w:r>
                    <w:t xml:space="preserve">334</w:t>
                  </w:r>
                </w:p>
              </w:tc>
              <w:tc>
                <w:tcPr/>
                <w:p>
                  <w:pPr>
                    <w:pStyle w:val="Compact"/>
                    <w:jc w:val="right"/>
                    <w:jc w:val="center"/>
                  </w:pPr>
                  <w:r>
                    <w:t xml:space="preserve">383</w:t>
                  </w:r>
                </w:p>
              </w:tc>
            </w:tr>
            <w:tr>
              <w:tc>
                <w:tcPr/>
                <w:p>
                  <w:pPr>
                    <w:pStyle w:val="Compact"/>
                    <w:jc w:val="left"/>
                    <w:jc w:val="center"/>
                  </w:pPr>
                  <w:r>
                    <w:t xml:space="preserve">350-550</w:t>
                  </w:r>
                </w:p>
              </w:tc>
              <w:tc>
                <w:tcPr/>
                <w:p>
                  <w:pPr>
                    <w:pStyle w:val="Compact"/>
                    <w:jc w:val="left"/>
                    <w:jc w:val="center"/>
                  </w:pPr>
                  <w:r>
                    <w:t xml:space="preserve">Extrapolation</w:t>
                  </w:r>
                </w:p>
              </w:tc>
              <w:tc>
                <w:tcPr/>
                <w:p>
                  <w:pPr>
                    <w:pStyle w:val="Compact"/>
                    <w:jc w:val="right"/>
                    <w:jc w:val="center"/>
                  </w:pPr>
                  <w:r>
                    <w:t xml:space="preserve">246</w:t>
                  </w:r>
                </w:p>
              </w:tc>
              <w:tc>
                <w:tcPr/>
                <w:p>
                  <w:pPr>
                    <w:pStyle w:val="Compact"/>
                    <w:jc w:val="right"/>
                    <w:jc w:val="center"/>
                  </w:pPr>
                  <w:r>
                    <w:t xml:space="preserve">149</w:t>
                  </w:r>
                </w:p>
              </w:tc>
              <w:tc>
                <w:tcPr/>
                <w:p>
                  <w:pPr>
                    <w:pStyle w:val="Compact"/>
                    <w:jc w:val="right"/>
                    <w:jc w:val="center"/>
                  </w:pPr>
                  <w:r>
                    <w:t xml:space="preserve">287</w:t>
                  </w:r>
                </w:p>
              </w:tc>
            </w:tr>
            <w:tr>
              <w:tc>
                <w:tcPr/>
                <w:p>
                  <w:pPr>
                    <w:pStyle w:val="Compact"/>
                    <w:jc w:val="left"/>
                    <w:jc w:val="center"/>
                  </w:pPr>
                  <w:r>
                    <w:t xml:space="preserve">600-800</w:t>
                  </w:r>
                </w:p>
              </w:tc>
              <w:tc>
                <w:tcPr/>
                <w:p>
                  <w:pPr>
                    <w:pStyle w:val="Compact"/>
                    <w:jc w:val="left"/>
                    <w:jc w:val="center"/>
                  </w:pPr>
                  <w:r>
                    <w:t xml:space="preserve">Trained</w:t>
                  </w:r>
                </w:p>
              </w:tc>
              <w:tc>
                <w:tcPr/>
                <w:p>
                  <w:pPr>
                    <w:pStyle w:val="Compact"/>
                    <w:jc w:val="right"/>
                    <w:jc w:val="center"/>
                  </w:pPr>
                  <w:r>
                    <w:t xml:space="preserve">155</w:t>
                  </w:r>
                </w:p>
              </w:tc>
              <w:tc>
                <w:tcPr/>
                <w:p>
                  <w:pPr>
                    <w:pStyle w:val="Compact"/>
                    <w:jc w:val="right"/>
                    <w:jc w:val="center"/>
                  </w:pPr>
                  <w:r>
                    <w:t xml:space="preserve">82</w:t>
                  </w:r>
                </w:p>
              </w:tc>
              <w:tc>
                <w:tcPr/>
                <w:p>
                  <w:pPr>
                    <w:pStyle w:val="Compact"/>
                    <w:jc w:val="right"/>
                    <w:jc w:val="center"/>
                  </w:pPr>
                  <w:r>
                    <w:t xml:space="preserve">209</w:t>
                  </w:r>
                </w:p>
              </w:tc>
            </w:tr>
            <w:tr>
              <w:tc>
                <w:tcPr/>
                <w:p>
                  <w:pPr>
                    <w:pStyle w:val="Compact"/>
                    <w:jc w:val="left"/>
                    <w:jc w:val="center"/>
                  </w:pPr>
                  <w:r>
                    <w:t xml:space="preserve">800-1000</w:t>
                  </w:r>
                </w:p>
              </w:tc>
              <w:tc>
                <w:tcPr/>
                <w:p>
                  <w:pPr>
                    <w:pStyle w:val="Compact"/>
                    <w:jc w:val="left"/>
                    <w:jc w:val="center"/>
                  </w:pPr>
                  <w:r>
                    <w:t xml:space="preserve">Extrapolation</w:t>
                  </w:r>
                </w:p>
              </w:tc>
              <w:tc>
                <w:tcPr/>
                <w:p>
                  <w:pPr>
                    <w:pStyle w:val="Compact"/>
                    <w:jc w:val="right"/>
                    <w:jc w:val="center"/>
                  </w:pPr>
                  <w:r>
                    <w:t xml:space="preserve">207</w:t>
                  </w:r>
                </w:p>
              </w:tc>
              <w:tc>
                <w:tcPr/>
                <w:p>
                  <w:pPr>
                    <w:pStyle w:val="Compact"/>
                    <w:jc w:val="right"/>
                    <w:jc w:val="center"/>
                  </w:pPr>
                  <w:r>
                    <w:t xml:space="preserve">151</w:t>
                  </w:r>
                </w:p>
              </w:tc>
              <w:tc>
                <w:tcPr/>
                <w:p>
                  <w:pPr>
                    <w:pStyle w:val="Compact"/>
                    <w:jc w:val="right"/>
                    <w:jc w:val="center"/>
                  </w:pPr>
                  <w:r>
                    <w:t xml:space="preserve">241</w:t>
                  </w:r>
                </w:p>
              </w:tc>
            </w:tr>
            <w:tr>
              <w:tc>
                <w:tcPr/>
                <w:p>
                  <w:pPr>
                    <w:pStyle w:val="Compact"/>
                    <w:jc w:val="left"/>
                    <w:jc w:val="center"/>
                  </w:pPr>
                  <w:r>
                    <w:t xml:space="preserve">1000-1200</w:t>
                  </w:r>
                </w:p>
              </w:tc>
              <w:tc>
                <w:tcPr/>
                <w:p>
                  <w:pPr>
                    <w:pStyle w:val="Compact"/>
                    <w:jc w:val="left"/>
                    <w:jc w:val="center"/>
                  </w:pPr>
                  <w:r>
                    <w:t xml:space="preserve">Extrapolation</w:t>
                  </w:r>
                </w:p>
              </w:tc>
              <w:tc>
                <w:tcPr/>
                <w:p>
                  <w:pPr>
                    <w:pStyle w:val="Compact"/>
                    <w:jc w:val="right"/>
                    <w:jc w:val="center"/>
                  </w:pPr>
                  <w:r>
                    <w:t xml:space="preserve">248</w:t>
                  </w:r>
                </w:p>
              </w:tc>
              <w:tc>
                <w:tcPr/>
                <w:p>
                  <w:pPr>
                    <w:pStyle w:val="Compact"/>
                    <w:jc w:val="right"/>
                    <w:jc w:val="center"/>
                  </w:pPr>
                  <w:r>
                    <w:t xml:space="preserve">220</w:t>
                  </w:r>
                </w:p>
              </w:tc>
              <w:tc>
                <w:tcPr/>
                <w:p>
                  <w:pPr>
                    <w:pStyle w:val="Compact"/>
                    <w:jc w:val="right"/>
                    <w:jc w:val="center"/>
                  </w:pPr>
                  <w:r>
                    <w:t xml:space="preserve">222</w:t>
                  </w:r>
                </w:p>
              </w:tc>
            </w:tr>
            <w:tr>
              <w:tc>
                <w:tcPr/>
                <w:p>
                  <w:pPr>
                    <w:pStyle w:val="Compact"/>
                    <w:jc w:val="left"/>
                    <w:jc w:val="center"/>
                  </w:pPr>
                  <w:r>
                    <w:t xml:space="preserve">1200-1400</w:t>
                  </w:r>
                </w:p>
              </w:tc>
              <w:tc>
                <w:tcPr/>
                <w:p>
                  <w:pPr>
                    <w:pStyle w:val="Compact"/>
                    <w:jc w:val="left"/>
                    <w:jc w:val="center"/>
                  </w:pPr>
                  <w:r>
                    <w:t xml:space="preserve">Extrapolation</w:t>
                  </w:r>
                </w:p>
              </w:tc>
              <w:tc>
                <w:tcPr/>
                <w:p>
                  <w:pPr>
                    <w:pStyle w:val="Compact"/>
                    <w:jc w:val="right"/>
                    <w:jc w:val="center"/>
                  </w:pPr>
                  <w:r>
                    <w:t xml:space="preserve">322</w:t>
                  </w:r>
                </w:p>
              </w:tc>
              <w:tc>
                <w:tcPr/>
                <w:p>
                  <w:pPr>
                    <w:pStyle w:val="Compact"/>
                    <w:jc w:val="right"/>
                    <w:jc w:val="center"/>
                  </w:pPr>
                  <w:r>
                    <w:t xml:space="preserve">281</w:t>
                  </w:r>
                </w:p>
              </w:tc>
              <w:tc>
                <w:tcPr/>
                <w:p>
                  <w:pPr>
                    <w:pStyle w:val="Compact"/>
                    <w:jc w:val="right"/>
                    <w:jc w:val="center"/>
                  </w:pPr>
                  <w:r>
                    <w:t xml:space="preserve">264</w:t>
                  </w:r>
                </w:p>
              </w:tc>
            </w:tr>
          </w:tbl>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Band</w:t>
                  </w:r>
                </w:p>
              </w:tc>
              <w:tc>
                <w:tcPr/>
                <w:p>
                  <w:pPr>
                    <w:pStyle w:val="Compact"/>
                    <w:jc w:val="left"/>
                    <w:jc w:val="center"/>
                  </w:pPr>
                  <w:r>
                    <w:t xml:space="preserve">Band Type</w:t>
                  </w:r>
                </w:p>
              </w:tc>
              <w:tc>
                <w:tcPr/>
                <w:p>
                  <w:pPr>
                    <w:pStyle w:val="Compact"/>
                    <w:jc w:val="right"/>
                    <w:jc w:val="center"/>
                  </w:pPr>
                  <w:r>
                    <w:t xml:space="preserve">Mean</w:t>
                  </w:r>
                </w:p>
              </w:tc>
              <w:tc>
                <w:tcPr/>
                <w:p>
                  <w:pPr>
                    <w:pStyle w:val="Compact"/>
                    <w:jc w:val="right"/>
                    <w:jc w:val="center"/>
                  </w:pPr>
                  <w:r>
                    <w:t xml:space="preserve">Median</w:t>
                  </w:r>
                </w:p>
              </w:tc>
              <w:tc>
                <w:tcPr/>
                <w:p>
                  <w:pPr>
                    <w:pStyle w:val="Compact"/>
                    <w:jc w:val="right"/>
                    <w:jc w:val="center"/>
                  </w:pPr>
                  <w:r>
                    <w:t xml:space="preserve">Sd</w:t>
                  </w:r>
                </w:p>
              </w:tc>
            </w:tr>
            <w:tr>
              <w:tc>
                <w:tcPr/>
                <w:p>
                  <w:pPr>
                    <w:pStyle w:val="Compact"/>
                    <w:jc w:val="left"/>
                    <w:jc w:val="center"/>
                  </w:pPr>
                  <w:r>
                    <w:t xml:space="preserve">100-300</w:t>
                  </w:r>
                </w:p>
              </w:tc>
              <w:tc>
                <w:tcPr/>
                <w:p>
                  <w:pPr>
                    <w:pStyle w:val="Compact"/>
                    <w:jc w:val="left"/>
                    <w:jc w:val="center"/>
                  </w:pPr>
                  <w:r>
                    <w:t xml:space="preserve">Trained</w:t>
                  </w:r>
                </w:p>
              </w:tc>
              <w:tc>
                <w:tcPr/>
                <w:p>
                  <w:pPr>
                    <w:pStyle w:val="Compact"/>
                    <w:jc w:val="right"/>
                    <w:jc w:val="center"/>
                  </w:pPr>
                  <w:r>
                    <w:t xml:space="preserve">153</w:t>
                  </w:r>
                </w:p>
              </w:tc>
              <w:tc>
                <w:tcPr/>
                <w:p>
                  <w:pPr>
                    <w:pStyle w:val="Compact"/>
                    <w:jc w:val="right"/>
                    <w:jc w:val="center"/>
                  </w:pPr>
                  <w:r>
                    <w:t xml:space="preserve">0</w:t>
                  </w:r>
                </w:p>
              </w:tc>
              <w:tc>
                <w:tcPr/>
                <w:p>
                  <w:pPr>
                    <w:pStyle w:val="Compact"/>
                    <w:jc w:val="right"/>
                    <w:jc w:val="center"/>
                  </w:pPr>
                  <w:r>
                    <w:t xml:space="preserve">307</w:t>
                  </w:r>
                </w:p>
              </w:tc>
            </w:tr>
            <w:tr>
              <w:tc>
                <w:tcPr/>
                <w:p>
                  <w:pPr>
                    <w:pStyle w:val="Compact"/>
                    <w:jc w:val="left"/>
                    <w:jc w:val="center"/>
                  </w:pPr>
                  <w:r>
                    <w:t xml:space="preserve">350-550</w:t>
                  </w:r>
                </w:p>
              </w:tc>
              <w:tc>
                <w:tcPr/>
                <w:p>
                  <w:pPr>
                    <w:pStyle w:val="Compact"/>
                    <w:jc w:val="left"/>
                    <w:jc w:val="center"/>
                  </w:pPr>
                  <w:r>
                    <w:t xml:space="preserve">Trained</w:t>
                  </w:r>
                </w:p>
              </w:tc>
              <w:tc>
                <w:tcPr/>
                <w:p>
                  <w:pPr>
                    <w:pStyle w:val="Compact"/>
                    <w:jc w:val="right"/>
                    <w:jc w:val="center"/>
                  </w:pPr>
                  <w:r>
                    <w:t xml:space="preserve">147</w:t>
                  </w:r>
                </w:p>
              </w:tc>
              <w:tc>
                <w:tcPr/>
                <w:p>
                  <w:pPr>
                    <w:pStyle w:val="Compact"/>
                    <w:jc w:val="right"/>
                    <w:jc w:val="center"/>
                  </w:pPr>
                  <w:r>
                    <w:t xml:space="preserve">55</w:t>
                  </w:r>
                </w:p>
              </w:tc>
              <w:tc>
                <w:tcPr/>
                <w:p>
                  <w:pPr>
                    <w:pStyle w:val="Compact"/>
                    <w:jc w:val="right"/>
                    <w:jc w:val="center"/>
                  </w:pPr>
                  <w:r>
                    <w:t xml:space="preserve">258</w:t>
                  </w:r>
                </w:p>
              </w:tc>
            </w:tr>
            <w:tr>
              <w:tc>
                <w:tcPr/>
                <w:p>
                  <w:pPr>
                    <w:pStyle w:val="Compact"/>
                    <w:jc w:val="left"/>
                    <w:jc w:val="center"/>
                  </w:pPr>
                  <w:r>
                    <w:t xml:space="preserve">600-800</w:t>
                  </w:r>
                </w:p>
              </w:tc>
              <w:tc>
                <w:tcPr/>
                <w:p>
                  <w:pPr>
                    <w:pStyle w:val="Compact"/>
                    <w:jc w:val="left"/>
                    <w:jc w:val="center"/>
                  </w:pPr>
                  <w:r>
                    <w:t xml:space="preserve">Trained</w:t>
                  </w:r>
                </w:p>
              </w:tc>
              <w:tc>
                <w:tcPr/>
                <w:p>
                  <w:pPr>
                    <w:pStyle w:val="Compact"/>
                    <w:jc w:val="right"/>
                    <w:jc w:val="center"/>
                  </w:pPr>
                  <w:r>
                    <w:t xml:space="preserve">159</w:t>
                  </w:r>
                </w:p>
              </w:tc>
              <w:tc>
                <w:tcPr/>
                <w:p>
                  <w:pPr>
                    <w:pStyle w:val="Compact"/>
                    <w:jc w:val="right"/>
                    <w:jc w:val="center"/>
                  </w:pPr>
                  <w:r>
                    <w:t xml:space="preserve">107</w:t>
                  </w:r>
                </w:p>
              </w:tc>
              <w:tc>
                <w:tcPr/>
                <w:p>
                  <w:pPr>
                    <w:pStyle w:val="Compact"/>
                    <w:jc w:val="right"/>
                    <w:jc w:val="center"/>
                  </w:pPr>
                  <w:r>
                    <w:t xml:space="preserve">192</w:t>
                  </w:r>
                </w:p>
              </w:tc>
            </w:tr>
            <w:tr>
              <w:tc>
                <w:tcPr/>
                <w:p>
                  <w:pPr>
                    <w:pStyle w:val="Compact"/>
                    <w:jc w:val="left"/>
                    <w:jc w:val="center"/>
                  </w:pPr>
                  <w:r>
                    <w:t xml:space="preserve">800-1000</w:t>
                  </w:r>
                </w:p>
              </w:tc>
              <w:tc>
                <w:tcPr/>
                <w:p>
                  <w:pPr>
                    <w:pStyle w:val="Compact"/>
                    <w:jc w:val="left"/>
                    <w:jc w:val="center"/>
                  </w:pPr>
                  <w:r>
                    <w:t xml:space="preserve">Extrapolation</w:t>
                  </w:r>
                </w:p>
              </w:tc>
              <w:tc>
                <w:tcPr/>
                <w:p>
                  <w:pPr>
                    <w:pStyle w:val="Compact"/>
                    <w:jc w:val="right"/>
                    <w:jc w:val="center"/>
                  </w:pPr>
                  <w:r>
                    <w:t xml:space="preserve">221</w:t>
                  </w:r>
                </w:p>
              </w:tc>
              <w:tc>
                <w:tcPr/>
                <w:p>
                  <w:pPr>
                    <w:pStyle w:val="Compact"/>
                    <w:jc w:val="right"/>
                    <w:jc w:val="center"/>
                  </w:pPr>
                  <w:r>
                    <w:t xml:space="preserve">160</w:t>
                  </w:r>
                </w:p>
              </w:tc>
              <w:tc>
                <w:tcPr/>
                <w:p>
                  <w:pPr>
                    <w:pStyle w:val="Compact"/>
                    <w:jc w:val="right"/>
                    <w:jc w:val="center"/>
                  </w:pPr>
                  <w:r>
                    <w:t xml:space="preserve">235</w:t>
                  </w:r>
                </w:p>
              </w:tc>
            </w:tr>
            <w:tr>
              <w:tc>
                <w:tcPr/>
                <w:p>
                  <w:pPr>
                    <w:pStyle w:val="Compact"/>
                    <w:jc w:val="left"/>
                    <w:jc w:val="center"/>
                  </w:pPr>
                  <w:r>
                    <w:t xml:space="preserve">1000-1200</w:t>
                  </w:r>
                </w:p>
              </w:tc>
              <w:tc>
                <w:tcPr/>
                <w:p>
                  <w:pPr>
                    <w:pStyle w:val="Compact"/>
                    <w:jc w:val="left"/>
                    <w:jc w:val="center"/>
                  </w:pPr>
                  <w:r>
                    <w:t xml:space="preserve">Extrapolation</w:t>
                  </w:r>
                </w:p>
              </w:tc>
              <w:tc>
                <w:tcPr/>
                <w:p>
                  <w:pPr>
                    <w:pStyle w:val="Compact"/>
                    <w:jc w:val="right"/>
                    <w:jc w:val="center"/>
                  </w:pPr>
                  <w:r>
                    <w:t xml:space="preserve">244</w:t>
                  </w:r>
                </w:p>
              </w:tc>
              <w:tc>
                <w:tcPr/>
                <w:p>
                  <w:pPr>
                    <w:pStyle w:val="Compact"/>
                    <w:jc w:val="right"/>
                    <w:jc w:val="center"/>
                  </w:pPr>
                  <w:r>
                    <w:t xml:space="preserve">185</w:t>
                  </w:r>
                </w:p>
              </w:tc>
              <w:tc>
                <w:tcPr/>
                <w:p>
                  <w:pPr>
                    <w:pStyle w:val="Compact"/>
                    <w:jc w:val="right"/>
                    <w:jc w:val="center"/>
                  </w:pPr>
                  <w:r>
                    <w:t xml:space="preserve">235</w:t>
                  </w:r>
                </w:p>
              </w:tc>
            </w:tr>
            <w:tr>
              <w:tc>
                <w:tcPr/>
                <w:p>
                  <w:pPr>
                    <w:pStyle w:val="Compact"/>
                    <w:jc w:val="left"/>
                    <w:jc w:val="center"/>
                  </w:pPr>
                  <w:r>
                    <w:t xml:space="preserve">1200-1400</w:t>
                  </w:r>
                </w:p>
              </w:tc>
              <w:tc>
                <w:tcPr/>
                <w:p>
                  <w:pPr>
                    <w:pStyle w:val="Compact"/>
                    <w:jc w:val="left"/>
                    <w:jc w:val="center"/>
                  </w:pPr>
                  <w:r>
                    <w:t xml:space="preserve">Extrapolation</w:t>
                  </w:r>
                </w:p>
              </w:tc>
              <w:tc>
                <w:tcPr/>
                <w:p>
                  <w:pPr>
                    <w:pStyle w:val="Compact"/>
                    <w:jc w:val="right"/>
                    <w:jc w:val="center"/>
                  </w:pPr>
                  <w:r>
                    <w:t xml:space="preserve">324</w:t>
                  </w:r>
                </w:p>
              </w:tc>
              <w:tc>
                <w:tcPr/>
                <w:p>
                  <w:pPr>
                    <w:pStyle w:val="Compact"/>
                    <w:jc w:val="right"/>
                    <w:jc w:val="center"/>
                  </w:pPr>
                  <w:r>
                    <w:t xml:space="preserve">264</w:t>
                  </w:r>
                </w:p>
              </w:tc>
              <w:tc>
                <w:tcPr/>
                <w:p>
                  <w:pPr>
                    <w:pStyle w:val="Compact"/>
                    <w:jc w:val="right"/>
                    <w:jc w:val="center"/>
                  </w:pPr>
                  <w:r>
                    <w:t xml:space="preserve">291</w:t>
                  </w:r>
                </w:p>
              </w:tc>
            </w:tr>
          </w:tbl>
          <w:bookmarkEnd w:id="160"/>
          <w:p/>
        </w:tc>
      </w:tr>
    </w:tbl>
    <w:tbl>
      <w:tblPr>
        <w:tblStyle w:val="Table"/>
        <w:tblW w:type="pct" w:w="5000"/>
        <w:tblLook w:firstRow="0" w:lastRow="0" w:firstColumn="0" w:lastColumn="0" w:noHBand="0" w:noVBand="0" w:val="0000"/>
        <w:jc w:val="start"/>
        <w:tblLayout w:type="fixed"/>
      </w:tblPr>
      <w:tblGrid>
        <w:gridCol w:w="7920"/>
      </w:tblGrid>
      <w:tr>
        <w:tc>
          <w:tcPr/>
          <w:bookmarkStart w:id="161" w:name="fig-e3-test-dev"/>
          <w:p>
            <w:pPr>
              <w:pStyle w:val="Compact"/>
              <w:jc w:val="center"/>
            </w:pPr>
          </w:p>
          <w:p>
            <w:pPr>
              <w:jc w:val="center"/>
            </w:pPr>
            <w:pPr>
              <w:jc w:val="start"/>
              <w:spacing w:before="200"/>
              <w:pStyle w:val="ImageCaption"/>
            </w:pPr>
            <w:r>
              <w:t xml:space="preserve">Figure 21: e3. Deviations from target band during testing without feedback stage.</w:t>
            </w:r>
          </w:p>
          <w:bookmarkEnd w:id="161"/>
        </w:tc>
      </w:tr>
    </w:tbl>
    <w:tbl>
      <w:tblPr>
        <w:tblStyle w:val="Table"/>
        <w:tblW w:type="pct" w:w="5000"/>
        <w:tblLook w:firstRow="0" w:lastRow="0" w:firstColumn="0" w:lastColumn="0" w:noHBand="0" w:noVBand="0" w:val="0000"/>
        <w:jc w:val="start"/>
        <w:tblLayout w:type="fixed"/>
      </w:tblPr>
      <w:tblGrid>
        <w:gridCol w:w="7920"/>
      </w:tblGrid>
      <w:tr>
        <w:tc>
          <w:tcPr/>
          <w:bookmarkStart w:id="162" w:name="tbl-e3-bmm-dist"/>
          <w:p>
            <w:pPr>
              <w:jc w:val="center"/>
            </w:pPr>
            <w:pPr>
              <w:jc w:val="start"/>
              <w:spacing w:before="200"/>
              <w:pStyle w:val="ImageCaption"/>
            </w:pPr>
            <w:r>
              <w:t xml:space="preserve">Table 14: Experiment 3. Bayesian Mixed Model predicting absolute deviation as a function of condition (Constant vs. Varied) and Velocity Band</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306.47</w:t>
                  </w:r>
                </w:p>
              </w:tc>
              <w:tc>
                <w:tcPr/>
                <w:p>
                  <w:pPr>
                    <w:pStyle w:val="Compact"/>
                    <w:jc w:val="right"/>
                    <w:jc w:val="center"/>
                  </w:pPr>
                  <w:r>
                    <w:t xml:space="preserve">243.89</w:t>
                  </w:r>
                </w:p>
              </w:tc>
              <w:tc>
                <w:tcPr/>
                <w:p>
                  <w:pPr>
                    <w:pStyle w:val="Compact"/>
                    <w:jc w:val="right"/>
                    <w:jc w:val="center"/>
                  </w:pPr>
                  <w:r>
                    <w:t xml:space="preserve">368.75</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-90.65</w:t>
                  </w:r>
                </w:p>
              </w:tc>
              <w:tc>
                <w:tcPr/>
                <w:p>
                  <w:pPr>
                    <w:pStyle w:val="Compact"/>
                    <w:jc w:val="right"/>
                    <w:jc w:val="center"/>
                  </w:pPr>
                  <w:r>
                    <w:t xml:space="preserve">-182.79</w:t>
                  </w:r>
                </w:p>
              </w:tc>
              <w:tc>
                <w:tcPr/>
                <w:p>
                  <w:pPr>
                    <w:pStyle w:val="Compact"/>
                    <w:jc w:val="right"/>
                    <w:jc w:val="center"/>
                  </w:pPr>
                  <w:r>
                    <w:t xml:space="preserve">3.75</w:t>
                  </w:r>
                </w:p>
              </w:tc>
              <w:tc>
                <w:tcPr/>
                <w:p>
                  <w:pPr>
                    <w:pStyle w:val="Compact"/>
                    <w:jc w:val="right"/>
                    <w:jc w:val="center"/>
                  </w:pPr>
                  <w:r>
                    <w:t xml:space="preserve">0.97</w:t>
                  </w:r>
                </w:p>
              </w:tc>
            </w:tr>
            <w:tr>
              <w:tc>
                <w:tcPr/>
                <w:p>
                  <w:pPr>
                    <w:pStyle w:val="Compact"/>
                    <w:jc w:val="left"/>
                    <w:jc w:val="center"/>
                  </w:pPr>
                  <w:r>
                    <w:t xml:space="preserve">Band</w:t>
                  </w:r>
                </w:p>
              </w:tc>
              <w:tc>
                <w:tcPr/>
                <w:p>
                  <w:pPr>
                    <w:pStyle w:val="Compact"/>
                    <w:jc w:val="right"/>
                    <w:jc w:val="center"/>
                  </w:pPr>
                  <w:r>
                    <w:t xml:space="preserve">-0.07</w:t>
                  </w:r>
                </w:p>
              </w:tc>
              <w:tc>
                <w:tcPr/>
                <w:p>
                  <w:pPr>
                    <w:pStyle w:val="Compact"/>
                    <w:jc w:val="right"/>
                    <w:jc w:val="center"/>
                  </w:pPr>
                  <w:r>
                    <w:t xml:space="preserve">-0.13</w:t>
                  </w:r>
                </w:p>
              </w:tc>
              <w:tc>
                <w:tcPr/>
                <w:p>
                  <w:pPr>
                    <w:pStyle w:val="Compact"/>
                    <w:jc w:val="right"/>
                    <w:jc w:val="center"/>
                  </w:pPr>
                  <w:r>
                    <w:t xml:space="preserve">0.00</w:t>
                  </w:r>
                </w:p>
              </w:tc>
              <w:tc>
                <w:tcPr/>
                <w:p>
                  <w:pPr>
                    <w:pStyle w:val="Compact"/>
                    <w:jc w:val="right"/>
                    <w:jc w:val="center"/>
                  </w:pPr>
                  <w:r>
                    <w:t xml:space="preserve">0.97</w:t>
                  </w:r>
                </w:p>
              </w:tc>
            </w:tr>
            <w:tr>
              <w:tc>
                <w:tcPr/>
                <w:p>
                  <w:pPr>
                    <w:pStyle w:val="Compact"/>
                    <w:jc w:val="left"/>
                    <w:jc w:val="center"/>
                  </w:pPr>
                  <w:r>
                    <w:t xml:space="preserve">condit*Band</w:t>
                  </w:r>
                </w:p>
              </w:tc>
              <w:tc>
                <w:tcPr/>
                <w:p>
                  <w:pPr>
                    <w:pStyle w:val="Compact"/>
                    <w:jc w:val="right"/>
                    <w:jc w:val="center"/>
                  </w:pPr>
                  <w:r>
                    <w:t xml:space="preserve">0.09</w:t>
                  </w:r>
                </w:p>
              </w:tc>
              <w:tc>
                <w:tcPr/>
                <w:p>
                  <w:pPr>
                    <w:pStyle w:val="Compact"/>
                    <w:jc w:val="right"/>
                    <w:jc w:val="center"/>
                  </w:pPr>
                  <w:r>
                    <w:t xml:space="preserve">-0.01</w:t>
                  </w:r>
                </w:p>
              </w:tc>
              <w:tc>
                <w:tcPr/>
                <w:p>
                  <w:pPr>
                    <w:pStyle w:val="Compact"/>
                    <w:jc w:val="right"/>
                    <w:jc w:val="center"/>
                  </w:pPr>
                  <w:r>
                    <w:t xml:space="preserve">0.19</w:t>
                  </w:r>
                </w:p>
              </w:tc>
              <w:tc>
                <w:tcPr/>
                <w:p>
                  <w:pPr>
                    <w:pStyle w:val="Compact"/>
                    <w:jc w:val="right"/>
                    <w:jc w:val="center"/>
                  </w:pPr>
                  <w:r>
                    <w:t xml:space="preserve">0.96</w:t>
                  </w:r>
                </w:p>
              </w:tc>
            </w:tr>
          </w:tbl>
          <w:bookmarkEnd w:id="162"/>
          <w:p/>
        </w:tc>
      </w:tr>
    </w:tbl>
    <w:p>
      <w:pPr>
        <w:pStyle w:val="BodyText"/>
      </w:pPr>
      <w:r>
        <w:t xml:space="preserve">The effect of training condition in Experiment 3 showed a similar pattern to Experiment 2, with the varied group tending to have lower deviation than the constant group (β = -90.65, 95% CrI [-182.79, 3.75]), with 97% of the posterior distribution falling under 0.</w:t>
      </w:r>
    </w:p>
    <w:tbl>
      <w:tblPr>
        <w:tblStyle w:val="Table"/>
        <w:tblW w:type="pct" w:w="5000"/>
        <w:tblLook w:firstRow="0" w:lastRow="0" w:firstColumn="0" w:lastColumn="0" w:noHBand="0" w:noVBand="0" w:val="0000"/>
        <w:jc w:val="start"/>
        <w:tblLayout w:type="fixed"/>
      </w:tblPr>
      <w:tblGrid>
        <w:gridCol w:w="7920"/>
      </w:tblGrid>
      <w:tr>
        <w:tc>
          <w:tcPr/>
          <w:bookmarkStart w:id="163" w:name="fig-e3-bmm-dist"/>
          <w:p>
            <w:pPr>
              <w:pStyle w:val="Compact"/>
              <w:jc w:val="center"/>
            </w:pPr>
          </w:p>
          <w:p>
            <w:pPr>
              <w:jc w:val="center"/>
            </w:pPr>
            <w:pPr>
              <w:jc w:val="start"/>
              <w:spacing w:before="200"/>
              <w:pStyle w:val="ImageCaption"/>
            </w:pPr>
            <w:r>
              <w:t xml:space="preserve">Figure 22: e3. Conditioinal Effect of Training Condition and Band. Ribbon indicated 95% Credible Intervals.</w:t>
            </w:r>
          </w:p>
          <w:bookmarkEnd w:id="163"/>
        </w:tc>
      </w:tr>
    </w:tbl>
    <w:bookmarkEnd w:id="164"/>
    <w:bookmarkStart w:id="172" w:name="discrimination-between-velocity-bands-1"/>
    <w:p>
      <w:pPr>
        <w:pStyle w:val="Heading4"/>
      </w:pPr>
      <w:r>
        <w:t xml:space="preserve">Discrimination between Velocity Bands</w:t>
      </w:r>
    </w:p>
    <w:p>
      <w:pPr>
        <w:pStyle w:val="FirstParagraph"/>
      </w:pPr>
      <w:r>
        <w:t xml:space="preserve">In addition to accuracy/deviation. We also assessed the ability of participants to reliably discriminate between the velocity bands (i.e. responding differently when prompted for band 600-800 than when prompted for band 150-350).</w:t>
      </w:r>
      <w:r>
        <w:t xml:space="preserve"> </w:t>
      </w:r>
      <w:hyperlink w:anchor="tbl-e3-test-nf-vx">
        <w:r>
          <w:rPr>
            <w:rStyle w:val="Hyperlink"/>
          </w:rPr>
          <w:t xml:space="preserve">Table 15</w:t>
        </w:r>
      </w:hyperlink>
      <w:r>
        <w:t xml:space="preserve"> </w:t>
      </w:r>
      <w:r>
        <w:t xml:space="preserve">shows descriptive statistics of this measure, and Figure 1 visualizes the full distributions of throws for each combination of condition and velocity band. To quantify discrimination, we again fit Bayesian Mixed Models as above, but this time the dependent variable was the raw x velocity generated by participants.</w:t>
      </w:r>
    </w:p>
    <w:p>
      <w:pPr>
        <w:pStyle w:val="BodyText"/>
      </w:pPr>
    </w:p>
    <w:tbl>
      <w:tblPr>
        <w:tblStyle w:val="Table"/>
        <w:tblW w:type="pct" w:w="5000"/>
        <w:tblLook w:firstRow="0" w:lastRow="0" w:firstColumn="0" w:lastColumn="0" w:noHBand="0" w:noVBand="0" w:val="0000"/>
        <w:jc w:val="start"/>
        <w:tblLayout w:type="fixed"/>
      </w:tblPr>
      <w:tblGrid>
        <w:gridCol w:w="7920"/>
      </w:tblGrid>
      <w:tr>
        <w:tc>
          <w:tcPr/>
          <w:bookmarkStart w:id="165" w:name="fig-e3-test-vx"/>
          <w:p>
            <w:pPr>
              <w:pStyle w:val="Compact"/>
              <w:jc w:val="center"/>
            </w:pPr>
          </w:p>
          <w:p>
            <w:pPr>
              <w:jc w:val="center"/>
            </w:pPr>
            <w:pPr>
              <w:jc w:val="start"/>
              <w:spacing w:before="200"/>
              <w:pStyle w:val="ImageCaption"/>
            </w:pPr>
            <w:r>
              <w:t xml:space="preserve">Figure 23: e3 testing x velocities. Translucent bands with dash lines indicate the correct range for each velocity band.</w:t>
            </w:r>
          </w:p>
          <w:bookmarkEnd w:id="165"/>
        </w:tc>
      </w:tr>
    </w:tbl>
    <w:tbl>
      <w:tblPr>
        <w:tblStyle w:val="Table"/>
        <w:tblW w:type="pct" w:w="5000"/>
        <w:tblLook w:firstRow="0" w:lastRow="0" w:firstColumn="0" w:lastColumn="0" w:noHBand="0" w:noVBand="0" w:val="0000"/>
        <w:jc w:val="start"/>
        <w:tblLayout w:type="fixed"/>
      </w:tblPr>
      <w:tblGrid>
        <w:gridCol w:w="7920"/>
      </w:tblGrid>
      <w:tr>
        <w:tc>
          <w:tcPr/>
          <w:bookmarkStart w:id="170" w:name="tbl-e3-test-nf-vx"/>
          <w:p>
            <w:pPr>
              <w:jc w:val="center"/>
            </w:pPr>
            <w:pPr>
              <w:jc w:val="start"/>
              <w:spacing w:before="200"/>
              <w:pStyle w:val="ImageCaption"/>
            </w:pPr>
            <w:r>
              <w:t xml:space="preserve">Table 15: Testing vx - Empirical Summary</w:t>
            </w:r>
          </w:p>
          <w:tbl>
            <w:tblPr>
              <w:tblStyle w:val="Table"/>
              <w:tblW w:type="pct" w:w="5000"/>
              <w:tblLook w:firstRow="0" w:lastRow="0" w:firstColumn="0" w:lastColumn="0" w:noHBand="0" w:noVBand="0" w:val="0000"/>
              <w:jc w:val="start"/>
              <w:tblLayout w:type="fixed"/>
            </w:tblPr>
            <w:tblGrid>
              <w:gridCol w:w="7920"/>
            </w:tblGrid>
            <w:tr>
              <w:tc>
                <w:tcPr/>
                <w:bookmarkStart w:id="167" w:name="tbl-e3-test-nf-vx-1"/>
                <w:p>
                  <w:pPr>
                    <w:jc w:val="center"/>
                    <w:jc w:val="center"/>
                  </w:pPr>
                  <w:pPr>
                    <w:jc w:val="start"/>
                    <w:spacing w:before="200"/>
                    <w:pStyle w:val="ImageCaption"/>
                  </w:pPr>
                  <w:r>
                    <w:t xml:space="preserve">(a) Constant Testing - vx</w:t>
                  </w:r>
                </w:p>
                <w:bookmarkStart w:id="166" w:name="tbl-e3-test-nf-vx-1"/>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Band</w:t>
                        </w:r>
                      </w:p>
                    </w:tc>
                    <w:tc>
                      <w:tcPr/>
                      <w:p>
                        <w:pPr>
                          <w:pStyle w:val="Compact"/>
                          <w:jc w:val="left"/>
                          <w:jc w:val="center"/>
                          <w:jc w:val="center"/>
                        </w:pPr>
                        <w:r>
                          <w:t xml:space="preserve">Band Type</w:t>
                        </w:r>
                      </w:p>
                    </w:tc>
                    <w:tc>
                      <w:tcPr/>
                      <w:p>
                        <w:pPr>
                          <w:pStyle w:val="Compact"/>
                          <w:jc w:val="right"/>
                          <w:jc w:val="center"/>
                          <w:jc w:val="center"/>
                        </w:pPr>
                        <w:r>
                          <w:t xml:space="preserve">Mean</w:t>
                        </w:r>
                      </w:p>
                    </w:tc>
                    <w:tc>
                      <w:tcPr/>
                      <w:p>
                        <w:pPr>
                          <w:pStyle w:val="Compact"/>
                          <w:jc w:val="right"/>
                          <w:jc w:val="center"/>
                          <w:jc w:val="center"/>
                        </w:pPr>
                        <w:r>
                          <w:t xml:space="preserve">Median</w:t>
                        </w:r>
                      </w:p>
                    </w:tc>
                    <w:tc>
                      <w:tcPr/>
                      <w:p>
                        <w:pPr>
                          <w:pStyle w:val="Compact"/>
                          <w:jc w:val="right"/>
                          <w:jc w:val="center"/>
                          <w:jc w:val="center"/>
                        </w:pPr>
                        <w:r>
                          <w:t xml:space="preserve">Sd</w:t>
                        </w:r>
                      </w:p>
                    </w:tc>
                  </w:tr>
                  <w:tr>
                    <w:tc>
                      <w:tcPr/>
                      <w:p>
                        <w:pPr>
                          <w:pStyle w:val="Compact"/>
                          <w:jc w:val="left"/>
                          <w:jc w:val="center"/>
                          <w:jc w:val="center"/>
                        </w:pPr>
                        <w:r>
                          <w:t xml:space="preserve">100-300</w:t>
                        </w:r>
                      </w:p>
                    </w:tc>
                    <w:tc>
                      <w:tcPr/>
                      <w:p>
                        <w:pPr>
                          <w:pStyle w:val="Compact"/>
                          <w:jc w:val="left"/>
                          <w:jc w:val="center"/>
                          <w:jc w:val="center"/>
                        </w:pPr>
                        <w:r>
                          <w:t xml:space="preserve">Extrapolation</w:t>
                        </w:r>
                      </w:p>
                    </w:tc>
                    <w:tc>
                      <w:tcPr/>
                      <w:p>
                        <w:pPr>
                          <w:pStyle w:val="Compact"/>
                          <w:jc w:val="right"/>
                          <w:jc w:val="center"/>
                          <w:jc w:val="center"/>
                        </w:pPr>
                        <w:r>
                          <w:t xml:space="preserve">680</w:t>
                        </w:r>
                      </w:p>
                    </w:tc>
                    <w:tc>
                      <w:tcPr/>
                      <w:p>
                        <w:pPr>
                          <w:pStyle w:val="Compact"/>
                          <w:jc w:val="right"/>
                          <w:jc w:val="center"/>
                          <w:jc w:val="center"/>
                        </w:pPr>
                        <w:r>
                          <w:t xml:space="preserve">625</w:t>
                        </w:r>
                      </w:p>
                    </w:tc>
                    <w:tc>
                      <w:tcPr/>
                      <w:p>
                        <w:pPr>
                          <w:pStyle w:val="Compact"/>
                          <w:jc w:val="right"/>
                          <w:jc w:val="center"/>
                          <w:jc w:val="center"/>
                        </w:pPr>
                        <w:r>
                          <w:t xml:space="preserve">370</w:t>
                        </w:r>
                      </w:p>
                    </w:tc>
                  </w:tr>
                  <w:tr>
                    <w:tc>
                      <w:tcPr/>
                      <w:p>
                        <w:pPr>
                          <w:pStyle w:val="Compact"/>
                          <w:jc w:val="left"/>
                          <w:jc w:val="center"/>
                          <w:jc w:val="center"/>
                        </w:pPr>
                        <w:r>
                          <w:t xml:space="preserve">350-550</w:t>
                        </w:r>
                      </w:p>
                    </w:tc>
                    <w:tc>
                      <w:tcPr/>
                      <w:p>
                        <w:pPr>
                          <w:pStyle w:val="Compact"/>
                          <w:jc w:val="left"/>
                          <w:jc w:val="center"/>
                          <w:jc w:val="center"/>
                        </w:pPr>
                        <w:r>
                          <w:t xml:space="preserve">Extrapolation</w:t>
                        </w:r>
                      </w:p>
                    </w:tc>
                    <w:tc>
                      <w:tcPr/>
                      <w:p>
                        <w:pPr>
                          <w:pStyle w:val="Compact"/>
                          <w:jc w:val="right"/>
                          <w:jc w:val="center"/>
                          <w:jc w:val="center"/>
                        </w:pPr>
                        <w:r>
                          <w:t xml:space="preserve">771</w:t>
                        </w:r>
                      </w:p>
                    </w:tc>
                    <w:tc>
                      <w:tcPr/>
                      <w:p>
                        <w:pPr>
                          <w:pStyle w:val="Compact"/>
                          <w:jc w:val="right"/>
                          <w:jc w:val="center"/>
                          <w:jc w:val="center"/>
                        </w:pPr>
                        <w:r>
                          <w:t xml:space="preserve">716</w:t>
                        </w:r>
                      </w:p>
                    </w:tc>
                    <w:tc>
                      <w:tcPr/>
                      <w:p>
                        <w:pPr>
                          <w:pStyle w:val="Compact"/>
                          <w:jc w:val="right"/>
                          <w:jc w:val="center"/>
                          <w:jc w:val="center"/>
                        </w:pPr>
                        <w:r>
                          <w:t xml:space="preserve">357</w:t>
                        </w:r>
                      </w:p>
                    </w:tc>
                  </w:tr>
                  <w:tr>
                    <w:tc>
                      <w:tcPr/>
                      <w:p>
                        <w:pPr>
                          <w:pStyle w:val="Compact"/>
                          <w:jc w:val="left"/>
                          <w:jc w:val="center"/>
                          <w:jc w:val="center"/>
                        </w:pPr>
                        <w:r>
                          <w:t xml:space="preserve">600-800</w:t>
                        </w:r>
                      </w:p>
                    </w:tc>
                    <w:tc>
                      <w:tcPr/>
                      <w:p>
                        <w:pPr>
                          <w:pStyle w:val="Compact"/>
                          <w:jc w:val="left"/>
                          <w:jc w:val="center"/>
                          <w:jc w:val="center"/>
                        </w:pPr>
                        <w:r>
                          <w:t xml:space="preserve">Extrapolation</w:t>
                        </w:r>
                      </w:p>
                    </w:tc>
                    <w:tc>
                      <w:tcPr/>
                      <w:p>
                        <w:pPr>
                          <w:pStyle w:val="Compact"/>
                          <w:jc w:val="right"/>
                          <w:jc w:val="center"/>
                          <w:jc w:val="center"/>
                        </w:pPr>
                        <w:r>
                          <w:t xml:space="preserve">832</w:t>
                        </w:r>
                      </w:p>
                    </w:tc>
                    <w:tc>
                      <w:tcPr/>
                      <w:p>
                        <w:pPr>
                          <w:pStyle w:val="Compact"/>
                          <w:jc w:val="right"/>
                          <w:jc w:val="center"/>
                          <w:jc w:val="center"/>
                        </w:pPr>
                        <w:r>
                          <w:t xml:space="preserve">786</w:t>
                        </w:r>
                      </w:p>
                    </w:tc>
                    <w:tc>
                      <w:tcPr/>
                      <w:p>
                        <w:pPr>
                          <w:pStyle w:val="Compact"/>
                          <w:jc w:val="right"/>
                          <w:jc w:val="center"/>
                          <w:jc w:val="center"/>
                        </w:pPr>
                        <w:r>
                          <w:t xml:space="preserve">318</w:t>
                        </w:r>
                      </w:p>
                    </w:tc>
                  </w:tr>
                  <w:tr>
                    <w:tc>
                      <w:tcPr/>
                      <w:p>
                        <w:pPr>
                          <w:pStyle w:val="Compact"/>
                          <w:jc w:val="left"/>
                          <w:jc w:val="center"/>
                          <w:jc w:val="center"/>
                        </w:pPr>
                        <w:r>
                          <w:t xml:space="preserve">800-1000</w:t>
                        </w:r>
                      </w:p>
                    </w:tc>
                    <w:tc>
                      <w:tcPr/>
                      <w:p>
                        <w:pPr>
                          <w:pStyle w:val="Compact"/>
                          <w:jc w:val="left"/>
                          <w:jc w:val="center"/>
                          <w:jc w:val="center"/>
                        </w:pPr>
                        <w:r>
                          <w:t xml:space="preserve">Trained</w:t>
                        </w:r>
                      </w:p>
                    </w:tc>
                    <w:tc>
                      <w:tcPr/>
                      <w:p>
                        <w:pPr>
                          <w:pStyle w:val="Compact"/>
                          <w:jc w:val="right"/>
                          <w:jc w:val="center"/>
                          <w:jc w:val="center"/>
                        </w:pPr>
                        <w:r>
                          <w:t xml:space="preserve">1006</w:t>
                        </w:r>
                      </w:p>
                    </w:tc>
                    <w:tc>
                      <w:tcPr/>
                      <w:p>
                        <w:pPr>
                          <w:pStyle w:val="Compact"/>
                          <w:jc w:val="right"/>
                          <w:jc w:val="center"/>
                          <w:jc w:val="center"/>
                        </w:pPr>
                        <w:r>
                          <w:t xml:space="preserve">916</w:t>
                        </w:r>
                      </w:p>
                    </w:tc>
                    <w:tc>
                      <w:tcPr/>
                      <w:p>
                        <w:pPr>
                          <w:pStyle w:val="Compact"/>
                          <w:jc w:val="right"/>
                          <w:jc w:val="center"/>
                          <w:jc w:val="center"/>
                        </w:pPr>
                        <w:r>
                          <w:t xml:space="preserve">417</w:t>
                        </w:r>
                      </w:p>
                    </w:tc>
                  </w:tr>
                  <w:tr>
                    <w:tc>
                      <w:tcPr/>
                      <w:p>
                        <w:pPr>
                          <w:pStyle w:val="Compact"/>
                          <w:jc w:val="left"/>
                          <w:jc w:val="center"/>
                          <w:jc w:val="center"/>
                        </w:pPr>
                        <w:r>
                          <w:t xml:space="preserve">1000-1200</w:t>
                        </w:r>
                      </w:p>
                    </w:tc>
                    <w:tc>
                      <w:tcPr/>
                      <w:p>
                        <w:pPr>
                          <w:pStyle w:val="Compact"/>
                          <w:jc w:val="left"/>
                          <w:jc w:val="center"/>
                          <w:jc w:val="center"/>
                        </w:pPr>
                        <w:r>
                          <w:t xml:space="preserve">Extrapolation</w:t>
                        </w:r>
                      </w:p>
                    </w:tc>
                    <w:tc>
                      <w:tcPr/>
                      <w:p>
                        <w:pPr>
                          <w:pStyle w:val="Compact"/>
                          <w:jc w:val="right"/>
                          <w:jc w:val="center"/>
                          <w:jc w:val="center"/>
                        </w:pPr>
                        <w:r>
                          <w:t xml:space="preserve">1149</w:t>
                        </w:r>
                      </w:p>
                    </w:tc>
                    <w:tc>
                      <w:tcPr/>
                      <w:p>
                        <w:pPr>
                          <w:pStyle w:val="Compact"/>
                          <w:jc w:val="right"/>
                          <w:jc w:val="center"/>
                          <w:jc w:val="center"/>
                        </w:pPr>
                        <w:r>
                          <w:t xml:space="preserve">1105</w:t>
                        </w:r>
                      </w:p>
                    </w:tc>
                    <w:tc>
                      <w:tcPr/>
                      <w:p>
                        <w:pPr>
                          <w:pStyle w:val="Compact"/>
                          <w:jc w:val="right"/>
                          <w:jc w:val="center"/>
                          <w:jc w:val="center"/>
                        </w:pPr>
                        <w:r>
                          <w:t xml:space="preserve">441</w:t>
                        </w:r>
                      </w:p>
                    </w:tc>
                  </w:tr>
                  <w:tr>
                    <w:tc>
                      <w:tcPr/>
                      <w:p>
                        <w:pPr>
                          <w:pStyle w:val="Compact"/>
                          <w:jc w:val="left"/>
                          <w:jc w:val="center"/>
                          <w:jc w:val="center"/>
                        </w:pPr>
                        <w:r>
                          <w:t xml:space="preserve">1200-1400</w:t>
                        </w:r>
                      </w:p>
                    </w:tc>
                    <w:tc>
                      <w:tcPr/>
                      <w:p>
                        <w:pPr>
                          <w:pStyle w:val="Compact"/>
                          <w:jc w:val="left"/>
                          <w:jc w:val="center"/>
                          <w:jc w:val="center"/>
                        </w:pPr>
                        <w:r>
                          <w:t xml:space="preserve">Extrapolation</w:t>
                        </w:r>
                      </w:p>
                    </w:tc>
                    <w:tc>
                      <w:tcPr/>
                      <w:p>
                        <w:pPr>
                          <w:pStyle w:val="Compact"/>
                          <w:jc w:val="right"/>
                          <w:jc w:val="center"/>
                          <w:jc w:val="center"/>
                        </w:pPr>
                        <w:r>
                          <w:t xml:space="preserve">1180</w:t>
                        </w:r>
                      </w:p>
                    </w:tc>
                    <w:tc>
                      <w:tcPr/>
                      <w:p>
                        <w:pPr>
                          <w:pStyle w:val="Compact"/>
                          <w:jc w:val="right"/>
                          <w:jc w:val="center"/>
                          <w:jc w:val="center"/>
                        </w:pPr>
                        <w:r>
                          <w:t xml:space="preserve">1112</w:t>
                        </w:r>
                      </w:p>
                    </w:tc>
                    <w:tc>
                      <w:tcPr/>
                      <w:p>
                        <w:pPr>
                          <w:pStyle w:val="Compact"/>
                          <w:jc w:val="right"/>
                          <w:jc w:val="center"/>
                          <w:jc w:val="center"/>
                        </w:pPr>
                        <w:r>
                          <w:t xml:space="preserve">443</w:t>
                        </w:r>
                      </w:p>
                    </w:tc>
                  </w:tr>
                </w:tbl>
                <w:bookmarkEnd w:id="166"/>
                <w:bookmarkEnd w:id="167"/>
                <w:p/>
              </w:tc>
            </w:tr>
          </w:tbl>
          <w:tbl>
            <w:tblPr>
              <w:tblStyle w:val="Table"/>
              <w:tblW w:type="pct" w:w="5000"/>
              <w:tblLook w:firstRow="0" w:lastRow="0" w:firstColumn="0" w:lastColumn="0" w:noHBand="0" w:noVBand="0" w:val="0000"/>
              <w:jc w:val="start"/>
              <w:tblLayout w:type="fixed"/>
            </w:tblPr>
            <w:tblGrid>
              <w:gridCol w:w="7920"/>
            </w:tblGrid>
            <w:tr>
              <w:tc>
                <w:tcPr/>
                <w:bookmarkStart w:id="169" w:name="tbl-e3-test-nf-vx-2"/>
                <w:p>
                  <w:pPr>
                    <w:jc w:val="center"/>
                    <w:jc w:val="center"/>
                  </w:pPr>
                  <w:pPr>
                    <w:jc w:val="start"/>
                    <w:spacing w:before="200"/>
                    <w:pStyle w:val="ImageCaption"/>
                  </w:pPr>
                  <w:r>
                    <w:t xml:space="preserve">(b) Varied Testing - vx</w:t>
                  </w:r>
                </w:p>
                <w:bookmarkStart w:id="168" w:name="tbl-e3-test-nf-vx-2"/>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Band</w:t>
                        </w:r>
                      </w:p>
                    </w:tc>
                    <w:tc>
                      <w:tcPr/>
                      <w:p>
                        <w:pPr>
                          <w:pStyle w:val="Compact"/>
                          <w:jc w:val="left"/>
                          <w:jc w:val="center"/>
                          <w:jc w:val="center"/>
                        </w:pPr>
                        <w:r>
                          <w:t xml:space="preserve">Band Type</w:t>
                        </w:r>
                      </w:p>
                    </w:tc>
                    <w:tc>
                      <w:tcPr/>
                      <w:p>
                        <w:pPr>
                          <w:pStyle w:val="Compact"/>
                          <w:jc w:val="right"/>
                          <w:jc w:val="center"/>
                          <w:jc w:val="center"/>
                        </w:pPr>
                        <w:r>
                          <w:t xml:space="preserve">Mean</w:t>
                        </w:r>
                      </w:p>
                    </w:tc>
                    <w:tc>
                      <w:tcPr/>
                      <w:p>
                        <w:pPr>
                          <w:pStyle w:val="Compact"/>
                          <w:jc w:val="right"/>
                          <w:jc w:val="center"/>
                          <w:jc w:val="center"/>
                        </w:pPr>
                        <w:r>
                          <w:t xml:space="preserve">Median</w:t>
                        </w:r>
                      </w:p>
                    </w:tc>
                    <w:tc>
                      <w:tcPr/>
                      <w:p>
                        <w:pPr>
                          <w:pStyle w:val="Compact"/>
                          <w:jc w:val="right"/>
                          <w:jc w:val="center"/>
                          <w:jc w:val="center"/>
                        </w:pPr>
                        <w:r>
                          <w:t xml:space="preserve">Sd</w:t>
                        </w:r>
                      </w:p>
                    </w:tc>
                  </w:tr>
                  <w:tr>
                    <w:tc>
                      <w:tcPr/>
                      <w:p>
                        <w:pPr>
                          <w:pStyle w:val="Compact"/>
                          <w:jc w:val="left"/>
                          <w:jc w:val="center"/>
                          <w:jc w:val="center"/>
                        </w:pPr>
                        <w:r>
                          <w:t xml:space="preserve">100-300</w:t>
                        </w:r>
                      </w:p>
                    </w:tc>
                    <w:tc>
                      <w:tcPr/>
                      <w:p>
                        <w:pPr>
                          <w:pStyle w:val="Compact"/>
                          <w:jc w:val="left"/>
                          <w:jc w:val="center"/>
                          <w:jc w:val="center"/>
                        </w:pPr>
                        <w:r>
                          <w:t xml:space="preserve">Extrapolation</w:t>
                        </w:r>
                      </w:p>
                    </w:tc>
                    <w:tc>
                      <w:tcPr/>
                      <w:p>
                        <w:pPr>
                          <w:pStyle w:val="Compact"/>
                          <w:jc w:val="right"/>
                          <w:jc w:val="center"/>
                          <w:jc w:val="center"/>
                        </w:pPr>
                        <w:r>
                          <w:t xml:space="preserve">667</w:t>
                        </w:r>
                      </w:p>
                    </w:tc>
                    <w:tc>
                      <w:tcPr/>
                      <w:p>
                        <w:pPr>
                          <w:pStyle w:val="Compact"/>
                          <w:jc w:val="right"/>
                          <w:jc w:val="center"/>
                          <w:jc w:val="center"/>
                        </w:pPr>
                        <w:r>
                          <w:t xml:space="preserve">554</w:t>
                        </w:r>
                      </w:p>
                    </w:tc>
                    <w:tc>
                      <w:tcPr/>
                      <w:p>
                        <w:pPr>
                          <w:pStyle w:val="Compact"/>
                          <w:jc w:val="right"/>
                          <w:jc w:val="center"/>
                          <w:jc w:val="center"/>
                        </w:pPr>
                        <w:r>
                          <w:t xml:space="preserve">403</w:t>
                        </w:r>
                      </w:p>
                    </w:tc>
                  </w:tr>
                  <w:tr>
                    <w:tc>
                      <w:tcPr/>
                      <w:p>
                        <w:pPr>
                          <w:pStyle w:val="Compact"/>
                          <w:jc w:val="left"/>
                          <w:jc w:val="center"/>
                          <w:jc w:val="center"/>
                        </w:pPr>
                        <w:r>
                          <w:t xml:space="preserve">350-550</w:t>
                        </w:r>
                      </w:p>
                    </w:tc>
                    <w:tc>
                      <w:tcPr/>
                      <w:p>
                        <w:pPr>
                          <w:pStyle w:val="Compact"/>
                          <w:jc w:val="left"/>
                          <w:jc w:val="center"/>
                          <w:jc w:val="center"/>
                        </w:pPr>
                        <w:r>
                          <w:t xml:space="preserve">Extrapolation</w:t>
                        </w:r>
                      </w:p>
                    </w:tc>
                    <w:tc>
                      <w:tcPr/>
                      <w:p>
                        <w:pPr>
                          <w:pStyle w:val="Compact"/>
                          <w:jc w:val="right"/>
                          <w:jc w:val="center"/>
                          <w:jc w:val="center"/>
                        </w:pPr>
                        <w:r>
                          <w:t xml:space="preserve">770</w:t>
                        </w:r>
                      </w:p>
                    </w:tc>
                    <w:tc>
                      <w:tcPr/>
                      <w:p>
                        <w:pPr>
                          <w:pStyle w:val="Compact"/>
                          <w:jc w:val="right"/>
                          <w:jc w:val="center"/>
                          <w:jc w:val="center"/>
                        </w:pPr>
                        <w:r>
                          <w:t xml:space="preserve">688</w:t>
                        </w:r>
                      </w:p>
                    </w:tc>
                    <w:tc>
                      <w:tcPr/>
                      <w:p>
                        <w:pPr>
                          <w:pStyle w:val="Compact"/>
                          <w:jc w:val="right"/>
                          <w:jc w:val="center"/>
                          <w:jc w:val="center"/>
                        </w:pPr>
                        <w:r>
                          <w:t xml:space="preserve">383</w:t>
                        </w:r>
                      </w:p>
                    </w:tc>
                  </w:tr>
                  <w:tr>
                    <w:tc>
                      <w:tcPr/>
                      <w:p>
                        <w:pPr>
                          <w:pStyle w:val="Compact"/>
                          <w:jc w:val="left"/>
                          <w:jc w:val="center"/>
                          <w:jc w:val="center"/>
                        </w:pPr>
                        <w:r>
                          <w:t xml:space="preserve">600-800</w:t>
                        </w:r>
                      </w:p>
                    </w:tc>
                    <w:tc>
                      <w:tcPr/>
                      <w:p>
                        <w:pPr>
                          <w:pStyle w:val="Compact"/>
                          <w:jc w:val="left"/>
                          <w:jc w:val="center"/>
                          <w:jc w:val="center"/>
                        </w:pPr>
                        <w:r>
                          <w:t xml:space="preserve">Extrapolation</w:t>
                        </w:r>
                      </w:p>
                    </w:tc>
                    <w:tc>
                      <w:tcPr/>
                      <w:p>
                        <w:pPr>
                          <w:pStyle w:val="Compact"/>
                          <w:jc w:val="right"/>
                          <w:jc w:val="center"/>
                          <w:jc w:val="center"/>
                        </w:pPr>
                        <w:r>
                          <w:t xml:space="preserve">869</w:t>
                        </w:r>
                      </w:p>
                    </w:tc>
                    <w:tc>
                      <w:tcPr/>
                      <w:p>
                        <w:pPr>
                          <w:pStyle w:val="Compact"/>
                          <w:jc w:val="right"/>
                          <w:jc w:val="center"/>
                          <w:jc w:val="center"/>
                        </w:pPr>
                        <w:r>
                          <w:t xml:space="preserve">814</w:t>
                        </w:r>
                      </w:p>
                    </w:tc>
                    <w:tc>
                      <w:tcPr/>
                      <w:p>
                        <w:pPr>
                          <w:pStyle w:val="Compact"/>
                          <w:jc w:val="right"/>
                          <w:jc w:val="center"/>
                          <w:jc w:val="center"/>
                        </w:pPr>
                        <w:r>
                          <w:t xml:space="preserve">358</w:t>
                        </w:r>
                      </w:p>
                    </w:tc>
                  </w:tr>
                  <w:tr>
                    <w:tc>
                      <w:tcPr/>
                      <w:p>
                        <w:pPr>
                          <w:pStyle w:val="Compact"/>
                          <w:jc w:val="left"/>
                          <w:jc w:val="center"/>
                          <w:jc w:val="center"/>
                        </w:pPr>
                        <w:r>
                          <w:t xml:space="preserve">800-1000</w:t>
                        </w:r>
                      </w:p>
                    </w:tc>
                    <w:tc>
                      <w:tcPr/>
                      <w:p>
                        <w:pPr>
                          <w:pStyle w:val="Compact"/>
                          <w:jc w:val="left"/>
                          <w:jc w:val="center"/>
                          <w:jc w:val="center"/>
                        </w:pPr>
                        <w:r>
                          <w:t xml:space="preserve">Trained</w:t>
                        </w:r>
                      </w:p>
                    </w:tc>
                    <w:tc>
                      <w:tcPr/>
                      <w:p>
                        <w:pPr>
                          <w:pStyle w:val="Compact"/>
                          <w:jc w:val="right"/>
                          <w:jc w:val="center"/>
                          <w:jc w:val="center"/>
                        </w:pPr>
                        <w:r>
                          <w:t xml:space="preserve">953</w:t>
                        </w:r>
                      </w:p>
                    </w:tc>
                    <w:tc>
                      <w:tcPr/>
                      <w:p>
                        <w:pPr>
                          <w:pStyle w:val="Compact"/>
                          <w:jc w:val="right"/>
                          <w:jc w:val="center"/>
                          <w:jc w:val="center"/>
                        </w:pPr>
                        <w:r>
                          <w:t xml:space="preserve">928</w:t>
                        </w:r>
                      </w:p>
                    </w:tc>
                    <w:tc>
                      <w:tcPr/>
                      <w:p>
                        <w:pPr>
                          <w:pStyle w:val="Compact"/>
                          <w:jc w:val="right"/>
                          <w:jc w:val="center"/>
                          <w:jc w:val="center"/>
                        </w:pPr>
                        <w:r>
                          <w:t xml:space="preserve">359</w:t>
                        </w:r>
                      </w:p>
                    </w:tc>
                  </w:tr>
                  <w:tr>
                    <w:tc>
                      <w:tcPr/>
                      <w:p>
                        <w:pPr>
                          <w:pStyle w:val="Compact"/>
                          <w:jc w:val="left"/>
                          <w:jc w:val="center"/>
                          <w:jc w:val="center"/>
                        </w:pPr>
                        <w:r>
                          <w:t xml:space="preserve">1000-1200</w:t>
                        </w:r>
                      </w:p>
                    </w:tc>
                    <w:tc>
                      <w:tcPr/>
                      <w:p>
                        <w:pPr>
                          <w:pStyle w:val="Compact"/>
                          <w:jc w:val="left"/>
                          <w:jc w:val="center"/>
                          <w:jc w:val="center"/>
                        </w:pPr>
                        <w:r>
                          <w:t xml:space="preserve">Trained</w:t>
                        </w:r>
                      </w:p>
                    </w:tc>
                    <w:tc>
                      <w:tcPr/>
                      <w:p>
                        <w:pPr>
                          <w:pStyle w:val="Compact"/>
                          <w:jc w:val="right"/>
                          <w:jc w:val="center"/>
                          <w:jc w:val="center"/>
                        </w:pPr>
                        <w:r>
                          <w:t xml:space="preserve">1072</w:t>
                        </w:r>
                      </w:p>
                    </w:tc>
                    <w:tc>
                      <w:tcPr/>
                      <w:p>
                        <w:pPr>
                          <w:pStyle w:val="Compact"/>
                          <w:jc w:val="right"/>
                          <w:jc w:val="center"/>
                          <w:jc w:val="center"/>
                        </w:pPr>
                        <w:r>
                          <w:t xml:space="preserve">1066</w:t>
                        </w:r>
                      </w:p>
                    </w:tc>
                    <w:tc>
                      <w:tcPr/>
                      <w:p>
                        <w:pPr>
                          <w:pStyle w:val="Compact"/>
                          <w:jc w:val="right"/>
                          <w:jc w:val="center"/>
                          <w:jc w:val="center"/>
                        </w:pPr>
                        <w:r>
                          <w:t xml:space="preserve">388</w:t>
                        </w:r>
                      </w:p>
                    </w:tc>
                  </w:tr>
                  <w:tr>
                    <w:tc>
                      <w:tcPr/>
                      <w:p>
                        <w:pPr>
                          <w:pStyle w:val="Compact"/>
                          <w:jc w:val="left"/>
                          <w:jc w:val="center"/>
                          <w:jc w:val="center"/>
                        </w:pPr>
                        <w:r>
                          <w:t xml:space="preserve">1200-1400</w:t>
                        </w:r>
                      </w:p>
                    </w:tc>
                    <w:tc>
                      <w:tcPr/>
                      <w:p>
                        <w:pPr>
                          <w:pStyle w:val="Compact"/>
                          <w:jc w:val="left"/>
                          <w:jc w:val="center"/>
                          <w:jc w:val="center"/>
                        </w:pPr>
                        <w:r>
                          <w:t xml:space="preserve">Trained</w:t>
                        </w:r>
                      </w:p>
                    </w:tc>
                    <w:tc>
                      <w:tcPr/>
                      <w:p>
                        <w:pPr>
                          <w:pStyle w:val="Compact"/>
                          <w:jc w:val="right"/>
                          <w:jc w:val="center"/>
                          <w:jc w:val="center"/>
                        </w:pPr>
                        <w:r>
                          <w:t xml:space="preserve">1144</w:t>
                        </w:r>
                      </w:p>
                    </w:tc>
                    <w:tc>
                      <w:tcPr/>
                      <w:p>
                        <w:pPr>
                          <w:pStyle w:val="Compact"/>
                          <w:jc w:val="right"/>
                          <w:jc w:val="center"/>
                          <w:jc w:val="center"/>
                        </w:pPr>
                        <w:r>
                          <w:t xml:space="preserve">1093</w:t>
                        </w:r>
                      </w:p>
                    </w:tc>
                    <w:tc>
                      <w:tcPr/>
                      <w:p>
                        <w:pPr>
                          <w:pStyle w:val="Compact"/>
                          <w:jc w:val="right"/>
                          <w:jc w:val="center"/>
                          <w:jc w:val="center"/>
                        </w:pPr>
                        <w:r>
                          <w:t xml:space="preserve">426</w:t>
                        </w:r>
                      </w:p>
                    </w:tc>
                  </w:tr>
                </w:tbl>
                <w:bookmarkEnd w:id="168"/>
                <w:bookmarkEnd w:id="169"/>
                <w:p/>
              </w:tc>
            </w:tr>
          </w:tbl>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Band</w:t>
                  </w:r>
                </w:p>
              </w:tc>
              <w:tc>
                <w:tcPr/>
                <w:p>
                  <w:pPr>
                    <w:pStyle w:val="Compact"/>
                    <w:jc w:val="left"/>
                    <w:jc w:val="center"/>
                  </w:pPr>
                  <w:r>
                    <w:t xml:space="preserve">Band Type</w:t>
                  </w:r>
                </w:p>
              </w:tc>
              <w:tc>
                <w:tcPr/>
                <w:p>
                  <w:pPr>
                    <w:pStyle w:val="Compact"/>
                    <w:jc w:val="right"/>
                    <w:jc w:val="center"/>
                  </w:pPr>
                  <w:r>
                    <w:t xml:space="preserve">Mean</w:t>
                  </w:r>
                </w:p>
              </w:tc>
              <w:tc>
                <w:tcPr/>
                <w:p>
                  <w:pPr>
                    <w:pStyle w:val="Compact"/>
                    <w:jc w:val="right"/>
                    <w:jc w:val="center"/>
                  </w:pPr>
                  <w:r>
                    <w:t xml:space="preserve">Median</w:t>
                  </w:r>
                </w:p>
              </w:tc>
              <w:tc>
                <w:tcPr/>
                <w:p>
                  <w:pPr>
                    <w:pStyle w:val="Compact"/>
                    <w:jc w:val="right"/>
                    <w:jc w:val="center"/>
                  </w:pPr>
                  <w:r>
                    <w:t xml:space="preserve">Sd</w:t>
                  </w:r>
                </w:p>
              </w:tc>
            </w:tr>
            <w:tr>
              <w:tc>
                <w:tcPr/>
                <w:p>
                  <w:pPr>
                    <w:pStyle w:val="Compact"/>
                    <w:jc w:val="left"/>
                    <w:jc w:val="center"/>
                  </w:pPr>
                  <w:r>
                    <w:t xml:space="preserve">100-300</w:t>
                  </w:r>
                </w:p>
              </w:tc>
              <w:tc>
                <w:tcPr/>
                <w:p>
                  <w:pPr>
                    <w:pStyle w:val="Compact"/>
                    <w:jc w:val="left"/>
                    <w:jc w:val="center"/>
                  </w:pPr>
                  <w:r>
                    <w:t xml:space="preserve">Extrapolation</w:t>
                  </w:r>
                </w:p>
              </w:tc>
              <w:tc>
                <w:tcPr/>
                <w:p>
                  <w:pPr>
                    <w:pStyle w:val="Compact"/>
                    <w:jc w:val="right"/>
                    <w:jc w:val="center"/>
                  </w:pPr>
                  <w:r>
                    <w:t xml:space="preserve">684</w:t>
                  </w:r>
                </w:p>
              </w:tc>
              <w:tc>
                <w:tcPr/>
                <w:p>
                  <w:pPr>
                    <w:pStyle w:val="Compact"/>
                    <w:jc w:val="right"/>
                    <w:jc w:val="center"/>
                  </w:pPr>
                  <w:r>
                    <w:t xml:space="preserve">634</w:t>
                  </w:r>
                </w:p>
              </w:tc>
              <w:tc>
                <w:tcPr/>
                <w:p>
                  <w:pPr>
                    <w:pStyle w:val="Compact"/>
                    <w:jc w:val="right"/>
                    <w:jc w:val="center"/>
                  </w:pPr>
                  <w:r>
                    <w:t xml:space="preserve">406</w:t>
                  </w:r>
                </w:p>
              </w:tc>
            </w:tr>
            <w:tr>
              <w:tc>
                <w:tcPr/>
                <w:p>
                  <w:pPr>
                    <w:pStyle w:val="Compact"/>
                    <w:jc w:val="left"/>
                    <w:jc w:val="center"/>
                  </w:pPr>
                  <w:r>
                    <w:t xml:space="preserve">350-550</w:t>
                  </w:r>
                </w:p>
              </w:tc>
              <w:tc>
                <w:tcPr/>
                <w:p>
                  <w:pPr>
                    <w:pStyle w:val="Compact"/>
                    <w:jc w:val="left"/>
                    <w:jc w:val="center"/>
                  </w:pPr>
                  <w:r>
                    <w:t xml:space="preserve">Extrapolation</w:t>
                  </w:r>
                </w:p>
              </w:tc>
              <w:tc>
                <w:tcPr/>
                <w:p>
                  <w:pPr>
                    <w:pStyle w:val="Compact"/>
                    <w:jc w:val="right"/>
                    <w:jc w:val="center"/>
                  </w:pPr>
                  <w:r>
                    <w:t xml:space="preserve">729</w:t>
                  </w:r>
                </w:p>
              </w:tc>
              <w:tc>
                <w:tcPr/>
                <w:p>
                  <w:pPr>
                    <w:pStyle w:val="Compact"/>
                    <w:jc w:val="right"/>
                    <w:jc w:val="center"/>
                  </w:pPr>
                  <w:r>
                    <w:t xml:space="preserve">679</w:t>
                  </w:r>
                </w:p>
              </w:tc>
              <w:tc>
                <w:tcPr/>
                <w:p>
                  <w:pPr>
                    <w:pStyle w:val="Compact"/>
                    <w:jc w:val="right"/>
                    <w:jc w:val="center"/>
                  </w:pPr>
                  <w:r>
                    <w:t xml:space="preserve">350</w:t>
                  </w:r>
                </w:p>
              </w:tc>
            </w:tr>
            <w:tr>
              <w:tc>
                <w:tcPr/>
                <w:p>
                  <w:pPr>
                    <w:pStyle w:val="Compact"/>
                    <w:jc w:val="left"/>
                    <w:jc w:val="center"/>
                  </w:pPr>
                  <w:r>
                    <w:t xml:space="preserve">600-800</w:t>
                  </w:r>
                </w:p>
              </w:tc>
              <w:tc>
                <w:tcPr/>
                <w:p>
                  <w:pPr>
                    <w:pStyle w:val="Compact"/>
                    <w:jc w:val="left"/>
                    <w:jc w:val="center"/>
                  </w:pPr>
                  <w:r>
                    <w:t xml:space="preserve">Trained</w:t>
                  </w:r>
                </w:p>
              </w:tc>
              <w:tc>
                <w:tcPr/>
                <w:p>
                  <w:pPr>
                    <w:pStyle w:val="Compact"/>
                    <w:jc w:val="right"/>
                    <w:jc w:val="center"/>
                  </w:pPr>
                  <w:r>
                    <w:t xml:space="preserve">776</w:t>
                  </w:r>
                </w:p>
              </w:tc>
              <w:tc>
                <w:tcPr/>
                <w:p>
                  <w:pPr>
                    <w:pStyle w:val="Compact"/>
                    <w:jc w:val="right"/>
                    <w:jc w:val="center"/>
                  </w:pPr>
                  <w:r>
                    <w:t xml:space="preserve">721</w:t>
                  </w:r>
                </w:p>
              </w:tc>
              <w:tc>
                <w:tcPr/>
                <w:p>
                  <w:pPr>
                    <w:pStyle w:val="Compact"/>
                    <w:jc w:val="right"/>
                    <w:jc w:val="center"/>
                  </w:pPr>
                  <w:r>
                    <w:t xml:space="preserve">318</w:t>
                  </w:r>
                </w:p>
              </w:tc>
            </w:tr>
            <w:tr>
              <w:tc>
                <w:tcPr/>
                <w:p>
                  <w:pPr>
                    <w:pStyle w:val="Compact"/>
                    <w:jc w:val="left"/>
                    <w:jc w:val="center"/>
                  </w:pPr>
                  <w:r>
                    <w:t xml:space="preserve">800-1000</w:t>
                  </w:r>
                </w:p>
              </w:tc>
              <w:tc>
                <w:tcPr/>
                <w:p>
                  <w:pPr>
                    <w:pStyle w:val="Compact"/>
                    <w:jc w:val="left"/>
                    <w:jc w:val="center"/>
                  </w:pPr>
                  <w:r>
                    <w:t xml:space="preserve">Extrapolation</w:t>
                  </w:r>
                </w:p>
              </w:tc>
              <w:tc>
                <w:tcPr/>
                <w:p>
                  <w:pPr>
                    <w:pStyle w:val="Compact"/>
                    <w:jc w:val="right"/>
                    <w:jc w:val="center"/>
                  </w:pPr>
                  <w:r>
                    <w:t xml:space="preserve">941</w:t>
                  </w:r>
                </w:p>
              </w:tc>
              <w:tc>
                <w:tcPr/>
                <w:p>
                  <w:pPr>
                    <w:pStyle w:val="Compact"/>
                    <w:jc w:val="right"/>
                    <w:jc w:val="center"/>
                  </w:pPr>
                  <w:r>
                    <w:t xml:space="preserve">883</w:t>
                  </w:r>
                </w:p>
              </w:tc>
              <w:tc>
                <w:tcPr/>
                <w:p>
                  <w:pPr>
                    <w:pStyle w:val="Compact"/>
                    <w:jc w:val="right"/>
                    <w:jc w:val="center"/>
                  </w:pPr>
                  <w:r>
                    <w:t xml:space="preserve">387</w:t>
                  </w:r>
                </w:p>
              </w:tc>
            </w:tr>
            <w:tr>
              <w:tc>
                <w:tcPr/>
                <w:p>
                  <w:pPr>
                    <w:pStyle w:val="Compact"/>
                    <w:jc w:val="left"/>
                    <w:jc w:val="center"/>
                  </w:pPr>
                  <w:r>
                    <w:t xml:space="preserve">1000-1200</w:t>
                  </w:r>
                </w:p>
              </w:tc>
              <w:tc>
                <w:tcPr/>
                <w:p>
                  <w:pPr>
                    <w:pStyle w:val="Compact"/>
                    <w:jc w:val="left"/>
                    <w:jc w:val="center"/>
                  </w:pPr>
                  <w:r>
                    <w:t xml:space="preserve">Extrapolation</w:t>
                  </w:r>
                </w:p>
              </w:tc>
              <w:tc>
                <w:tcPr/>
                <w:p>
                  <w:pPr>
                    <w:pStyle w:val="Compact"/>
                    <w:jc w:val="right"/>
                    <w:jc w:val="center"/>
                  </w:pPr>
                  <w:r>
                    <w:t xml:space="preserve">1014</w:t>
                  </w:r>
                </w:p>
              </w:tc>
              <w:tc>
                <w:tcPr/>
                <w:p>
                  <w:pPr>
                    <w:pStyle w:val="Compact"/>
                    <w:jc w:val="right"/>
                    <w:jc w:val="center"/>
                  </w:pPr>
                  <w:r>
                    <w:t xml:space="preserve">956</w:t>
                  </w:r>
                </w:p>
              </w:tc>
              <w:tc>
                <w:tcPr/>
                <w:p>
                  <w:pPr>
                    <w:pStyle w:val="Compact"/>
                    <w:jc w:val="right"/>
                    <w:jc w:val="center"/>
                  </w:pPr>
                  <w:r>
                    <w:t xml:space="preserve">403</w:t>
                  </w:r>
                </w:p>
              </w:tc>
            </w:tr>
            <w:tr>
              <w:tc>
                <w:tcPr/>
                <w:p>
                  <w:pPr>
                    <w:pStyle w:val="Compact"/>
                    <w:jc w:val="left"/>
                    <w:jc w:val="center"/>
                  </w:pPr>
                  <w:r>
                    <w:t xml:space="preserve">1200-1400</w:t>
                  </w:r>
                </w:p>
              </w:tc>
              <w:tc>
                <w:tcPr/>
                <w:p>
                  <w:pPr>
                    <w:pStyle w:val="Compact"/>
                    <w:jc w:val="left"/>
                    <w:jc w:val="center"/>
                  </w:pPr>
                  <w:r>
                    <w:t xml:space="preserve">Extrapolation</w:t>
                  </w:r>
                </w:p>
              </w:tc>
              <w:tc>
                <w:tcPr/>
                <w:p>
                  <w:pPr>
                    <w:pStyle w:val="Compact"/>
                    <w:jc w:val="right"/>
                    <w:jc w:val="center"/>
                  </w:pPr>
                  <w:r>
                    <w:t xml:space="preserve">1072</w:t>
                  </w:r>
                </w:p>
              </w:tc>
              <w:tc>
                <w:tcPr/>
                <w:p>
                  <w:pPr>
                    <w:pStyle w:val="Compact"/>
                    <w:jc w:val="right"/>
                    <w:jc w:val="center"/>
                  </w:pPr>
                  <w:r>
                    <w:t xml:space="preserve">1014</w:t>
                  </w:r>
                </w:p>
              </w:tc>
              <w:tc>
                <w:tcPr/>
                <w:p>
                  <w:pPr>
                    <w:pStyle w:val="Compact"/>
                    <w:jc w:val="right"/>
                    <w:jc w:val="center"/>
                  </w:pPr>
                  <w:r>
                    <w:t xml:space="preserve">442</w:t>
                  </w:r>
                </w:p>
              </w:tc>
            </w:tr>
          </w:tbl>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Band</w:t>
                  </w:r>
                </w:p>
              </w:tc>
              <w:tc>
                <w:tcPr/>
                <w:p>
                  <w:pPr>
                    <w:pStyle w:val="Compact"/>
                    <w:jc w:val="left"/>
                    <w:jc w:val="center"/>
                  </w:pPr>
                  <w:r>
                    <w:t xml:space="preserve">Band Type</w:t>
                  </w:r>
                </w:p>
              </w:tc>
              <w:tc>
                <w:tcPr/>
                <w:p>
                  <w:pPr>
                    <w:pStyle w:val="Compact"/>
                    <w:jc w:val="right"/>
                    <w:jc w:val="center"/>
                  </w:pPr>
                  <w:r>
                    <w:t xml:space="preserve">Mean</w:t>
                  </w:r>
                </w:p>
              </w:tc>
              <w:tc>
                <w:tcPr/>
                <w:p>
                  <w:pPr>
                    <w:pStyle w:val="Compact"/>
                    <w:jc w:val="right"/>
                    <w:jc w:val="center"/>
                  </w:pPr>
                  <w:r>
                    <w:t xml:space="preserve">Median</w:t>
                  </w:r>
                </w:p>
              </w:tc>
              <w:tc>
                <w:tcPr/>
                <w:p>
                  <w:pPr>
                    <w:pStyle w:val="Compact"/>
                    <w:jc w:val="right"/>
                    <w:jc w:val="center"/>
                  </w:pPr>
                  <w:r>
                    <w:t xml:space="preserve">Sd</w:t>
                  </w:r>
                </w:p>
              </w:tc>
            </w:tr>
            <w:tr>
              <w:tc>
                <w:tcPr/>
                <w:p>
                  <w:pPr>
                    <w:pStyle w:val="Compact"/>
                    <w:jc w:val="left"/>
                    <w:jc w:val="center"/>
                  </w:pPr>
                  <w:r>
                    <w:t xml:space="preserve">100-300</w:t>
                  </w:r>
                </w:p>
              </w:tc>
              <w:tc>
                <w:tcPr/>
                <w:p>
                  <w:pPr>
                    <w:pStyle w:val="Compact"/>
                    <w:jc w:val="left"/>
                    <w:jc w:val="center"/>
                  </w:pPr>
                  <w:r>
                    <w:t xml:space="preserve">Trained</w:t>
                  </w:r>
                </w:p>
              </w:tc>
              <w:tc>
                <w:tcPr/>
                <w:p>
                  <w:pPr>
                    <w:pStyle w:val="Compact"/>
                    <w:jc w:val="right"/>
                    <w:jc w:val="center"/>
                  </w:pPr>
                  <w:r>
                    <w:t xml:space="preserve">392</w:t>
                  </w:r>
                </w:p>
              </w:tc>
              <w:tc>
                <w:tcPr/>
                <w:p>
                  <w:pPr>
                    <w:pStyle w:val="Compact"/>
                    <w:jc w:val="right"/>
                    <w:jc w:val="center"/>
                  </w:pPr>
                  <w:r>
                    <w:t xml:space="preserve">270</w:t>
                  </w:r>
                </w:p>
              </w:tc>
              <w:tc>
                <w:tcPr/>
                <w:p>
                  <w:pPr>
                    <w:pStyle w:val="Compact"/>
                    <w:jc w:val="right"/>
                    <w:jc w:val="center"/>
                  </w:pPr>
                  <w:r>
                    <w:t xml:space="preserve">343</w:t>
                  </w:r>
                </w:p>
              </w:tc>
            </w:tr>
            <w:tr>
              <w:tc>
                <w:tcPr/>
                <w:p>
                  <w:pPr>
                    <w:pStyle w:val="Compact"/>
                    <w:jc w:val="left"/>
                    <w:jc w:val="center"/>
                  </w:pPr>
                  <w:r>
                    <w:t xml:space="preserve">350-550</w:t>
                  </w:r>
                </w:p>
              </w:tc>
              <w:tc>
                <w:tcPr/>
                <w:p>
                  <w:pPr>
                    <w:pStyle w:val="Compact"/>
                    <w:jc w:val="left"/>
                    <w:jc w:val="center"/>
                  </w:pPr>
                  <w:r>
                    <w:t xml:space="preserve">Trained</w:t>
                  </w:r>
                </w:p>
              </w:tc>
              <w:tc>
                <w:tcPr/>
                <w:p>
                  <w:pPr>
                    <w:pStyle w:val="Compact"/>
                    <w:jc w:val="right"/>
                    <w:jc w:val="center"/>
                  </w:pPr>
                  <w:r>
                    <w:t xml:space="preserve">540</w:t>
                  </w:r>
                </w:p>
              </w:tc>
              <w:tc>
                <w:tcPr/>
                <w:p>
                  <w:pPr>
                    <w:pStyle w:val="Compact"/>
                    <w:jc w:val="right"/>
                    <w:jc w:val="center"/>
                  </w:pPr>
                  <w:r>
                    <w:t xml:space="preserve">442</w:t>
                  </w:r>
                </w:p>
              </w:tc>
              <w:tc>
                <w:tcPr/>
                <w:p>
                  <w:pPr>
                    <w:pStyle w:val="Compact"/>
                    <w:jc w:val="right"/>
                    <w:jc w:val="center"/>
                  </w:pPr>
                  <w:r>
                    <w:t xml:space="preserve">343</w:t>
                  </w:r>
                </w:p>
              </w:tc>
            </w:tr>
            <w:tr>
              <w:tc>
                <w:tcPr/>
                <w:p>
                  <w:pPr>
                    <w:pStyle w:val="Compact"/>
                    <w:jc w:val="left"/>
                    <w:jc w:val="center"/>
                  </w:pPr>
                  <w:r>
                    <w:t xml:space="preserve">600-800</w:t>
                  </w:r>
                </w:p>
              </w:tc>
              <w:tc>
                <w:tcPr/>
                <w:p>
                  <w:pPr>
                    <w:pStyle w:val="Compact"/>
                    <w:jc w:val="left"/>
                    <w:jc w:val="center"/>
                  </w:pPr>
                  <w:r>
                    <w:t xml:space="preserve">Trained</w:t>
                  </w:r>
                </w:p>
              </w:tc>
              <w:tc>
                <w:tcPr/>
                <w:p>
                  <w:pPr>
                    <w:pStyle w:val="Compact"/>
                    <w:jc w:val="right"/>
                    <w:jc w:val="center"/>
                  </w:pPr>
                  <w:r>
                    <w:t xml:space="preserve">642</w:t>
                  </w:r>
                </w:p>
              </w:tc>
              <w:tc>
                <w:tcPr/>
                <w:p>
                  <w:pPr>
                    <w:pStyle w:val="Compact"/>
                    <w:jc w:val="right"/>
                    <w:jc w:val="center"/>
                  </w:pPr>
                  <w:r>
                    <w:t xml:space="preserve">588</w:t>
                  </w:r>
                </w:p>
              </w:tc>
              <w:tc>
                <w:tcPr/>
                <w:p>
                  <w:pPr>
                    <w:pStyle w:val="Compact"/>
                    <w:jc w:val="right"/>
                    <w:jc w:val="center"/>
                  </w:pPr>
                  <w:r>
                    <w:t xml:space="preserve">315</w:t>
                  </w:r>
                </w:p>
              </w:tc>
            </w:tr>
            <w:tr>
              <w:tc>
                <w:tcPr/>
                <w:p>
                  <w:pPr>
                    <w:pStyle w:val="Compact"/>
                    <w:jc w:val="left"/>
                    <w:jc w:val="center"/>
                  </w:pPr>
                  <w:r>
                    <w:t xml:space="preserve">800-1000</w:t>
                  </w:r>
                </w:p>
              </w:tc>
              <w:tc>
                <w:tcPr/>
                <w:p>
                  <w:pPr>
                    <w:pStyle w:val="Compact"/>
                    <w:jc w:val="left"/>
                    <w:jc w:val="center"/>
                  </w:pPr>
                  <w:r>
                    <w:t xml:space="preserve">Extrapolation</w:t>
                  </w:r>
                </w:p>
              </w:tc>
              <w:tc>
                <w:tcPr/>
                <w:p>
                  <w:pPr>
                    <w:pStyle w:val="Compact"/>
                    <w:jc w:val="right"/>
                    <w:jc w:val="center"/>
                  </w:pPr>
                  <w:r>
                    <w:t xml:space="preserve">943</w:t>
                  </w:r>
                </w:p>
              </w:tc>
              <w:tc>
                <w:tcPr/>
                <w:p>
                  <w:pPr>
                    <w:pStyle w:val="Compact"/>
                    <w:jc w:val="right"/>
                    <w:jc w:val="center"/>
                  </w:pPr>
                  <w:r>
                    <w:t xml:space="preserve">899</w:t>
                  </w:r>
                </w:p>
              </w:tc>
              <w:tc>
                <w:tcPr/>
                <w:p>
                  <w:pPr>
                    <w:pStyle w:val="Compact"/>
                    <w:jc w:val="right"/>
                    <w:jc w:val="center"/>
                  </w:pPr>
                  <w:r>
                    <w:t xml:space="preserve">394</w:t>
                  </w:r>
                </w:p>
              </w:tc>
            </w:tr>
            <w:tr>
              <w:tc>
                <w:tcPr/>
                <w:p>
                  <w:pPr>
                    <w:pStyle w:val="Compact"/>
                    <w:jc w:val="left"/>
                    <w:jc w:val="center"/>
                  </w:pPr>
                  <w:r>
                    <w:t xml:space="preserve">1000-1200</w:t>
                  </w:r>
                </w:p>
              </w:tc>
              <w:tc>
                <w:tcPr/>
                <w:p>
                  <w:pPr>
                    <w:pStyle w:val="Compact"/>
                    <w:jc w:val="left"/>
                    <w:jc w:val="center"/>
                  </w:pPr>
                  <w:r>
                    <w:t xml:space="preserve">Extrapolation</w:t>
                  </w:r>
                </w:p>
              </w:tc>
              <w:tc>
                <w:tcPr/>
                <w:p>
                  <w:pPr>
                    <w:pStyle w:val="Compact"/>
                    <w:jc w:val="right"/>
                    <w:jc w:val="center"/>
                  </w:pPr>
                  <w:r>
                    <w:t xml:space="preserve">1081</w:t>
                  </w:r>
                </w:p>
              </w:tc>
              <w:tc>
                <w:tcPr/>
                <w:p>
                  <w:pPr>
                    <w:pStyle w:val="Compact"/>
                    <w:jc w:val="right"/>
                    <w:jc w:val="center"/>
                  </w:pPr>
                  <w:r>
                    <w:t xml:space="preserve">1048</w:t>
                  </w:r>
                </w:p>
              </w:tc>
              <w:tc>
                <w:tcPr/>
                <w:p>
                  <w:pPr>
                    <w:pStyle w:val="Compact"/>
                    <w:jc w:val="right"/>
                    <w:jc w:val="center"/>
                  </w:pPr>
                  <w:r>
                    <w:t xml:space="preserve">415</w:t>
                  </w:r>
                </w:p>
              </w:tc>
            </w:tr>
            <w:tr>
              <w:tc>
                <w:tcPr/>
                <w:p>
                  <w:pPr>
                    <w:pStyle w:val="Compact"/>
                    <w:jc w:val="left"/>
                    <w:jc w:val="center"/>
                  </w:pPr>
                  <w:r>
                    <w:t xml:space="preserve">1200-1400</w:t>
                  </w:r>
                </w:p>
              </w:tc>
              <w:tc>
                <w:tcPr/>
                <w:p>
                  <w:pPr>
                    <w:pStyle w:val="Compact"/>
                    <w:jc w:val="left"/>
                    <w:jc w:val="center"/>
                  </w:pPr>
                  <w:r>
                    <w:t xml:space="preserve">Extrapolation</w:t>
                  </w:r>
                </w:p>
              </w:tc>
              <w:tc>
                <w:tcPr/>
                <w:p>
                  <w:pPr>
                    <w:pStyle w:val="Compact"/>
                    <w:jc w:val="right"/>
                    <w:jc w:val="center"/>
                  </w:pPr>
                  <w:r>
                    <w:t xml:space="preserve">1185</w:t>
                  </w:r>
                </w:p>
              </w:tc>
              <w:tc>
                <w:tcPr/>
                <w:p>
                  <w:pPr>
                    <w:pStyle w:val="Compact"/>
                    <w:jc w:val="right"/>
                    <w:jc w:val="center"/>
                  </w:pPr>
                  <w:r>
                    <w:t xml:space="preserve">1129</w:t>
                  </w:r>
                </w:p>
              </w:tc>
              <w:tc>
                <w:tcPr/>
                <w:p>
                  <w:pPr>
                    <w:pStyle w:val="Compact"/>
                    <w:jc w:val="right"/>
                    <w:jc w:val="center"/>
                  </w:pPr>
                  <w:r>
                    <w:t xml:space="preserve">500</w:t>
                  </w:r>
                </w:p>
              </w:tc>
            </w:tr>
          </w:tbl>
          <w:bookmarkEnd w:id="170"/>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1" w:name="tbl-e3-bmm-vx"/>
          <w:p>
            <w:pPr>
              <w:jc w:val="center"/>
            </w:pPr>
            <w:pPr>
              <w:jc w:val="start"/>
              <w:spacing w:before="200"/>
              <w:pStyle w:val="ImageCaption"/>
            </w:pPr>
            <w:r>
              <w:t xml:space="preserve">Table 16: Experiment 3. Bayesian Mixed Model Predicting Vx as a function of condition (Constant vs. Varied) and Velocity Band</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607.67</w:t>
                  </w:r>
                </w:p>
              </w:tc>
              <w:tc>
                <w:tcPr/>
                <w:p>
                  <w:pPr>
                    <w:pStyle w:val="Compact"/>
                    <w:jc w:val="right"/>
                    <w:jc w:val="center"/>
                  </w:pPr>
                  <w:r>
                    <w:t xml:space="preserve">536.02</w:t>
                  </w:r>
                </w:p>
              </w:tc>
              <w:tc>
                <w:tcPr/>
                <w:p>
                  <w:pPr>
                    <w:pStyle w:val="Compact"/>
                    <w:jc w:val="right"/>
                    <w:jc w:val="center"/>
                  </w:pPr>
                  <w:r>
                    <w:t xml:space="preserve">679.87</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-167.76</w:t>
                  </w:r>
                </w:p>
              </w:tc>
              <w:tc>
                <w:tcPr/>
                <w:p>
                  <w:pPr>
                    <w:pStyle w:val="Compact"/>
                    <w:jc w:val="right"/>
                    <w:jc w:val="center"/>
                  </w:pPr>
                  <w:r>
                    <w:t xml:space="preserve">-277.14</w:t>
                  </w:r>
                </w:p>
              </w:tc>
              <w:tc>
                <w:tcPr/>
                <w:p>
                  <w:pPr>
                    <w:pStyle w:val="Compact"/>
                    <w:jc w:val="right"/>
                    <w:jc w:val="center"/>
                  </w:pPr>
                  <w:r>
                    <w:t xml:space="preserve">-64.08</w:t>
                  </w:r>
                </w:p>
              </w:tc>
              <w:tc>
                <w:tcPr/>
                <w:p>
                  <w:pPr>
                    <w:pStyle w:val="Compact"/>
                    <w:jc w:val="right"/>
                    <w:jc w:val="center"/>
                  </w:pPr>
                  <w:r>
                    <w:t xml:space="preserve">1</w:t>
                  </w:r>
                </w:p>
              </w:tc>
            </w:tr>
            <w:tr>
              <w:tc>
                <w:tcPr/>
                <w:p>
                  <w:pPr>
                    <w:pStyle w:val="Compact"/>
                    <w:jc w:val="left"/>
                    <w:jc w:val="center"/>
                  </w:pPr>
                  <w:r>
                    <w:t xml:space="preserve">Band</w:t>
                  </w:r>
                </w:p>
              </w:tc>
              <w:tc>
                <w:tcPr/>
                <w:p>
                  <w:pPr>
                    <w:pStyle w:val="Compact"/>
                    <w:jc w:val="right"/>
                    <w:jc w:val="center"/>
                  </w:pPr>
                  <w:r>
                    <w:t xml:space="preserve">0.44</w:t>
                  </w:r>
                </w:p>
              </w:tc>
              <w:tc>
                <w:tcPr/>
                <w:p>
                  <w:pPr>
                    <w:pStyle w:val="Compact"/>
                    <w:jc w:val="right"/>
                    <w:jc w:val="center"/>
                  </w:pPr>
                  <w:r>
                    <w:t xml:space="preserve">0.35</w:t>
                  </w:r>
                </w:p>
              </w:tc>
              <w:tc>
                <w:tcPr/>
                <w:p>
                  <w:pPr>
                    <w:pStyle w:val="Compact"/>
                    <w:jc w:val="right"/>
                    <w:jc w:val="center"/>
                  </w:pPr>
                  <w:r>
                    <w:t xml:space="preserve">0.52</w:t>
                  </w:r>
                </w:p>
              </w:tc>
              <w:tc>
                <w:tcPr/>
                <w:p>
                  <w:pPr>
                    <w:pStyle w:val="Compact"/>
                    <w:jc w:val="right"/>
                    <w:jc w:val="center"/>
                  </w:pPr>
                  <w:r>
                    <w:t xml:space="preserve">1</w:t>
                  </w:r>
                </w:p>
              </w:tc>
            </w:tr>
            <w:tr>
              <w:tc>
                <w:tcPr/>
                <w:p>
                  <w:pPr>
                    <w:pStyle w:val="Compact"/>
                    <w:jc w:val="left"/>
                    <w:jc w:val="center"/>
                  </w:pPr>
                  <w:r>
                    <w:t xml:space="preserve">condit*Band</w:t>
                  </w:r>
                </w:p>
              </w:tc>
              <w:tc>
                <w:tcPr/>
                <w:p>
                  <w:pPr>
                    <w:pStyle w:val="Compact"/>
                    <w:jc w:val="right"/>
                    <w:jc w:val="center"/>
                  </w:pPr>
                  <w:r>
                    <w:t xml:space="preserve">0.18</w:t>
                  </w:r>
                </w:p>
              </w:tc>
              <w:tc>
                <w:tcPr/>
                <w:p>
                  <w:pPr>
                    <w:pStyle w:val="Compact"/>
                    <w:jc w:val="right"/>
                    <w:jc w:val="center"/>
                  </w:pPr>
                  <w:r>
                    <w:t xml:space="preserve">0.06</w:t>
                  </w:r>
                </w:p>
              </w:tc>
              <w:tc>
                <w:tcPr/>
                <w:p>
                  <w:pPr>
                    <w:pStyle w:val="Compact"/>
                    <w:jc w:val="right"/>
                    <w:jc w:val="center"/>
                  </w:pPr>
                  <w:r>
                    <w:t xml:space="preserve">0.31</w:t>
                  </w:r>
                </w:p>
              </w:tc>
              <w:tc>
                <w:tcPr/>
                <w:p>
                  <w:pPr>
                    <w:pStyle w:val="Compact"/>
                    <w:jc w:val="right"/>
                    <w:jc w:val="center"/>
                  </w:pPr>
                  <w:r>
                    <w:t xml:space="preserve">1</w:t>
                  </w:r>
                </w:p>
              </w:tc>
            </w:tr>
          </w:tbl>
          <w:bookmarkEnd w:id="171"/>
          <w:p/>
        </w:tc>
      </w:tr>
    </w:tbl>
    <w:p>
      <w:pPr>
        <w:pStyle w:val="BodyText"/>
      </w:pPr>
      <w:r>
        <w:t xml:space="preserve">See</w:t>
      </w:r>
      <w:r>
        <w:t xml:space="preserve"> </w:t>
      </w:r>
      <w:hyperlink w:anchor="tbl-e3-bmm-vx">
        <w:r>
          <w:rPr>
            <w:rStyle w:val="Hyperlink"/>
          </w:rPr>
          <w:t xml:space="preserve">Table 16</w:t>
        </w:r>
      </w:hyperlink>
      <w:r>
        <w:t xml:space="preserve"> </w:t>
      </w:r>
      <w:r>
        <w:t xml:space="preserve">for the full model results.</w:t>
      </w:r>
    </w:p>
    <w:p>
      <w:pPr>
        <w:pStyle w:val="BodyText"/>
      </w:pPr>
      <w:r>
        <w:t xml:space="preserve">Slope estimates for experiment 3 suggest that participants were capable of distinguishing between velocity bands even when provided only ordinal feedback during training (β = 0.44, 95% CrI [0.35, 0.52]). Unlike the previous two experiments, the posterior distribution for the interaction between condition and band was consistently positive, suggestive of superior discrimination for the varied participants</w:t>
      </w:r>
      <w:r>
        <w:t xml:space="preserve"> </w:t>
      </w:r>
      <w:r>
        <w:t xml:space="preserve">β = 0.18, 95% CrI [0.06, 0.31].</w:t>
      </w:r>
    </w:p>
    <w:bookmarkEnd w:id="172"/>
    <w:bookmarkEnd w:id="173"/>
    <w:bookmarkEnd w:id="174"/>
    <w:bookmarkEnd w:id="175"/>
    <w:bookmarkStart w:id="180" w:name="modeling"/>
    <w:p>
      <w:pPr>
        <w:pStyle w:val="Heading1"/>
      </w:pPr>
      <w:r>
        <w:t xml:space="preserve">Modeling</w:t>
      </w:r>
    </w:p>
    <w:p>
      <w:pPr>
        <w:pStyle w:val="FirstParagraph"/>
      </w:pPr>
      <w:r>
        <w:t xml:space="preserve">In project 1, we applied model-based techniques to quantify and control for the similarity between training and testing experience, which in turn enabled us to account for the difference between varied and constant training via an extended version of a similarity based generalization model. In project 2, we will go a step further, implementing a full process model capable of both 1) producing novel responses and 2) modeling behavior in both the learning and testing stages of the experiment. For this purpose, we will apply the associative learning model (ALM) and the EXAM model of function learning (DeLosh 1997). ALM is a simple connectionist learning model which closely resembles Kruschke’s ALCOVE model (Kruscke 1992), with modifications to allow for the generation of continuous responses.</w:t>
      </w:r>
    </w:p>
    <w:bookmarkStart w:id="176" w:name="alm-exam-description"/>
    <w:p>
      <w:pPr>
        <w:pStyle w:val="Heading2"/>
      </w:pPr>
      <w:r>
        <w:t xml:space="preserve">ALM &amp; Exam Description</w:t>
      </w:r>
    </w:p>
    <w:p>
      <w:pPr>
        <w:pStyle w:val="FirstParagraph"/>
      </w:pPr>
      <w:r>
        <w:t xml:space="preserve">DeLosh et al. (</w:t>
      </w:r>
      <w:hyperlink w:anchor="ref-deloshExtrapolationSineQua1997">
        <w:r>
          <w:rPr>
            <w:rStyle w:val="Hyperlink"/>
          </w:rPr>
          <w:t xml:space="preserve">1997</w:t>
        </w:r>
      </w:hyperlink>
      <w:r>
        <w:t xml:space="preserve">)</w:t>
      </w:r>
      <w:r>
        <w:t xml:space="preserve"> </w:t>
      </w:r>
      <w:r>
        <w:t xml:space="preserve">introduced the associative learning model (ALM), a connectionist model within the popular class of radial-basis networks. ALM was inspired by, and closely resembles Kruschke’s influential ALCOVE model of categorization</w:t>
      </w:r>
      <w:r>
        <w:t xml:space="preserve"> </w:t>
      </w:r>
      <w:r>
        <w:t xml:space="preserve">(</w:t>
      </w:r>
      <w:hyperlink w:anchor="Xdb7e4c44c36e324f43a0c9fdfdb4efa7d250832">
        <w:r>
          <w:rPr>
            <w:rStyle w:val="Hyperlink"/>
          </w:rPr>
          <w:t xml:space="preserve">Kruschke, 1992</w:t>
        </w:r>
      </w:hyperlink>
      <w:r>
        <w:t xml:space="preserve">)</w:t>
      </w:r>
      <w:r>
        <w:t xml:space="preserve">.</w:t>
      </w:r>
    </w:p>
    <w:p>
      <w:pPr>
        <w:pStyle w:val="BodyText"/>
      </w:pPr>
      <w:r>
        <w:t xml:space="preserve">ALM is a localist neural network model, with each input node corresponding to a particular stimulus, and each output node corresponding to a particular response value. The units in the input layer activate as a function of their Gaussian similarity to the input stimulus. So, for example, an input stimulus of value 55 would induce maximal activation of the input unit tuned to 55. Depending on thevalue of the generalization parameter, the nearby units (e.g. 54 and 56; 53 and 57) may also activate to some degree. ALM is structured with input and output nodes that correspond to regions of the stimulus space, and response space, respectively. The units in the input layer activate as a function of their similarity to a presented stimulus. As was the case with the exemplar-based models, similarity in ALM is exponentially decaying function of distance. The input layer is fully connected to the output layer, and the activation for any particular output node is simply the weighted sum of the connection weights between that node and the input activations. The network then produces a response by taking the weighted average of the output units (recall that each output unit has a value corresponding to a particular response). During training, the network receives feedback which activates each output unit as a function of its distance from the ideal level of activation necessary to produce the correct response. The connection weights between input and output units are then updated via the standard delta learning rule, where the magnitude of weight changes are controlled by a learning rate parameter.</w:t>
      </w:r>
    </w:p>
    <w:p>
      <w:pPr>
        <w:pStyle w:val="BodyText"/>
      </w:pPr>
      <w:r>
        <w:t xml:space="preserve">See for a full specification of the equations that define ALM and EXAM.</w:t>
      </w:r>
    </w:p>
    <w:p>
      <w:r>
        <w:br w:type="page"/>
      </w:r>
    </w:p>
    <w:bookmarkEnd w:id="176"/>
    <w:bookmarkStart w:id="178" w:name="model-table"/>
    <w:p>
      <w:pPr>
        <w:pStyle w:val="Heading2"/>
      </w:pPr>
      <w:r>
        <w:t xml:space="preserve">Model Table</w:t>
      </w:r>
    </w:p>
    <w:bookmarkStart w:id="177" w:name="alm-activation-response"/>
    <w:p>
      <w:pPr>
        <w:pStyle w:val="Heading3"/>
      </w:pPr>
      <w:r>
        <w:t xml:space="preserve">ALM Activation &amp; Response</w:t>
      </w:r>
    </w:p>
    <w:tbl>
      <w:tblPr>
        <w:tblStyle w:val="Table"/>
        <w:tblW w:type="pct" w:w="5000"/>
        <w:tblLook w:firstRow="1" w:lastRow="0" w:firstColumn="0" w:lastColumn="0" w:noHBand="0" w:noVBand="0" w:val="0020"/>
        <w:jc w:val="start"/>
        <w:tblLayout w:type="fixed"/>
      </w:tblPr>
      <w:tblGrid>
        <w:gridCol w:w="1638"/>
        <w:gridCol w:w="2731"/>
        <w:gridCol w:w="3550"/>
      </w:tblGrid>
      <w:tr>
        <w:trPr>
          <w:tblHeader w:val="true"/>
        </w:trPr>
        <w:tc>
          <w:tcPr/>
          <w:p>
            <w:pPr>
              <w:pStyle w:val="Compact"/>
              <w:jc w:val="left"/>
            </w:pPr>
            <w:r>
              <w:t xml:space="preserve">Step</w:t>
            </w:r>
          </w:p>
        </w:tc>
        <w:tc>
          <w:tcPr/>
          <w:p>
            <w:pPr>
              <w:pStyle w:val="Compact"/>
              <w:jc w:val="left"/>
            </w:pPr>
            <w:r>
              <w:t xml:space="preserve">Equation</w:t>
            </w:r>
          </w:p>
        </w:tc>
        <w:tc>
          <w:tcPr/>
          <w:p>
            <w:pPr>
              <w:pStyle w:val="Compact"/>
              <w:jc w:val="left"/>
            </w:pPr>
            <w:r>
              <w:t xml:space="preserve">Description</w:t>
            </w:r>
          </w:p>
        </w:tc>
      </w:tr>
      <w:tr>
        <w:tc>
          <w:tcPr/>
          <w:p>
            <w:pPr>
              <w:pStyle w:val="Compact"/>
              <w:jc w:val="left"/>
            </w:pPr>
            <w:r>
              <w:rPr>
                <w:bCs/>
                <w:b/>
              </w:rPr>
              <w:t xml:space="preserve">ALM Activation &amp; Response</w:t>
            </w:r>
          </w:p>
        </w:tc>
        <w:tc>
          <w:tcPr/>
          <w:p>
            <w:pPr>
              <w:pStyle w:val="Compact"/>
            </w:pPr>
          </w:p>
        </w:tc>
        <w:tc>
          <w:tcPr/>
          <w:p>
            <w:pPr>
              <w:pStyle w:val="Compact"/>
            </w:pPr>
          </w:p>
        </w:tc>
      </w:tr>
      <w:tr>
        <w:tc>
          <w:tcPr/>
          <w:p>
            <w:pPr>
              <w:pStyle w:val="Compact"/>
              <w:jc w:val="left"/>
            </w:pPr>
            <w:r>
              <w:t xml:space="preserve">Input Activation</w:t>
            </w:r>
          </w:p>
        </w:tc>
        <w:tc>
          <w:tcPr/>
          <w:p>
            <w:pPr>
              <w:pStyle w:val="Compact"/>
              <w:jc w:val="left"/>
            </w:pPr>
            <m:oMath>
              <m:sSub>
                <m:e>
                  <m:r>
                    <m:t>a</m:t>
                  </m:r>
                </m:e>
                <m:sub>
                  <m:r>
                    <m:t>i</m:t>
                  </m:r>
                </m:sub>
              </m:sSub>
              <m:d>
                <m:dPr>
                  <m:begChr m:val="("/>
                  <m:endChr m:val=")"/>
                  <m:sepChr m:val=""/>
                  <m:grow/>
                </m:dPr>
                <m:e>
                  <m:r>
                    <m:t>X</m:t>
                  </m:r>
                </m:e>
              </m:d>
              <m:r>
                <m:rPr>
                  <m:sty m:val="p"/>
                </m:rPr>
                <m:t>=</m:t>
              </m:r>
              <m:f>
                <m:fPr>
                  <m:type m:val="bar"/>
                </m:fPr>
                <m:num>
                  <m:sSup>
                    <m:e>
                      <m:r>
                        <m:t>e</m:t>
                      </m:r>
                    </m:e>
                    <m:sup>
                      <m:r>
                        <m:rPr>
                          <m:sty m:val="p"/>
                        </m:rPr>
                        <m:t>−</m:t>
                      </m:r>
                      <m:r>
                        <m:t>c</m:t>
                      </m:r>
                      <m:sSup>
                        <m:e>
                          <m:d>
                            <m:dPr>
                              <m:begChr m:val="("/>
                              <m:endChr m:val=")"/>
                              <m:sepChr m:val=""/>
                              <m:grow/>
                            </m:dPr>
                            <m:e>
                              <m:r>
                                <m:t>X</m:t>
                              </m:r>
                              <m:r>
                                <m:rPr>
                                  <m:sty m:val="p"/>
                                </m:rPr>
                                <m:t>−</m:t>
                              </m:r>
                              <m:sSub>
                                <m:e>
                                  <m:r>
                                    <m:t>X</m:t>
                                  </m:r>
                                </m:e>
                                <m:sub>
                                  <m:r>
                                    <m:t>i</m:t>
                                  </m:r>
                                </m:sub>
                              </m:sSub>
                            </m:e>
                          </m:d>
                        </m:e>
                        <m:sup>
                          <m:r>
                            <m:t>2</m:t>
                          </m:r>
                        </m:sup>
                      </m:sSup>
                    </m:sup>
                  </m:sSup>
                </m:num>
                <m:den>
                  <m:nary>
                    <m:naryPr>
                      <m:chr m:val="∑"/>
                      <m:limLoc m:val="undOvr"/>
                      <m:subHide m:val="0"/>
                      <m:supHide m:val="0"/>
                    </m:naryPr>
                    <m:sub>
                      <m:r>
                        <m:t>k</m:t>
                      </m:r>
                      <m:r>
                        <m:rPr>
                          <m:sty m:val="p"/>
                        </m:rPr>
                        <m:t>=</m:t>
                      </m:r>
                      <m:r>
                        <m:t>1</m:t>
                      </m:r>
                    </m:sub>
                    <m:sup>
                      <m:r>
                        <m:t>M</m:t>
                      </m:r>
                    </m:sup>
                    <m:e>
                      <m:sSup>
                        <m:e>
                          <m:r>
                            <m:t>e</m:t>
                          </m:r>
                        </m:e>
                        <m:sup>
                          <m:r>
                            <m:rPr>
                              <m:sty m:val="p"/>
                            </m:rPr>
                            <m:t>−</m:t>
                          </m:r>
                          <m:r>
                            <m:t>c</m:t>
                          </m:r>
                          <m:sSup>
                            <m:e>
                              <m:d>
                                <m:dPr>
                                  <m:begChr m:val="("/>
                                  <m:endChr m:val=")"/>
                                  <m:sepChr m:val=""/>
                                  <m:grow/>
                                </m:dPr>
                                <m:e>
                                  <m:r>
                                    <m:t>X</m:t>
                                  </m:r>
                                  <m:r>
                                    <m:rPr>
                                      <m:sty m:val="p"/>
                                    </m:rPr>
                                    <m:t>−</m:t>
                                  </m:r>
                                  <m:sSub>
                                    <m:e>
                                      <m:r>
                                        <m:t>X</m:t>
                                      </m:r>
                                    </m:e>
                                    <m:sub>
                                      <m:r>
                                        <m:t>k</m:t>
                                      </m:r>
                                    </m:sub>
                                  </m:sSub>
                                </m:e>
                              </m:d>
                            </m:e>
                            <m:sup>
                              <m:r>
                                <m:t>2</m:t>
                              </m:r>
                            </m:sup>
                          </m:sSup>
                        </m:sup>
                      </m:sSup>
                    </m:e>
                  </m:nary>
                </m:den>
              </m:f>
            </m:oMath>
          </w:p>
        </w:tc>
        <w:tc>
          <w:tcPr/>
          <w:p>
            <w:pPr>
              <w:pStyle w:val="Compact"/>
              <w:jc w:val="left"/>
            </w:pPr>
            <w:r>
              <w:t xml:space="preserve">Activation of each input node</w:t>
            </w:r>
            <w:r>
              <w:t xml:space="preserve"> </w:t>
            </w:r>
            <m:oMath>
              <m:sSub>
                <m:e>
                  <m:r>
                    <m:t>X</m:t>
                  </m:r>
                </m:e>
                <m:sub>
                  <m:r>
                    <m:t>i</m:t>
                  </m:r>
                </m:sub>
              </m:sSub>
            </m:oMath>
            <w:r>
              <w:t xml:space="preserve">, is a function of the Gaussian similarity between the node value and stimulus X.</w:t>
            </w:r>
          </w:p>
        </w:tc>
      </w:tr>
      <w:tr>
        <w:tc>
          <w:tcPr/>
          <w:p>
            <w:pPr>
              <w:pStyle w:val="Compact"/>
              <w:jc w:val="left"/>
            </w:pPr>
            <w:r>
              <w:t xml:space="preserve">Output Activation</w:t>
            </w:r>
          </w:p>
        </w:tc>
        <w:tc>
          <w:tcPr/>
          <w:p>
            <w:pPr>
              <w:pStyle w:val="Compact"/>
              <w:jc w:val="left"/>
            </w:pPr>
            <m:oMath>
              <m:sSub>
                <m:e>
                  <m:r>
                    <m:t>O</m:t>
                  </m:r>
                </m:e>
                <m:sub>
                  <m:r>
                    <m:t>j</m:t>
                  </m:r>
                </m:sub>
              </m:sSub>
              <m:d>
                <m:dPr>
                  <m:begChr m:val="("/>
                  <m:endChr m:val=")"/>
                  <m:sepChr m:val=""/>
                  <m:grow/>
                </m:dPr>
                <m:e>
                  <m:r>
                    <m:t>X</m:t>
                  </m:r>
                </m:e>
              </m:d>
              <m:r>
                <m:rPr>
                  <m:sty m:val="p"/>
                </m:rPr>
                <m:t>=</m:t>
              </m:r>
              <m:nary>
                <m:naryPr>
                  <m:chr m:val="∑"/>
                  <m:limLoc m:val="undOvr"/>
                  <m:subHide m:val="0"/>
                  <m:supHide m:val="0"/>
                </m:naryPr>
                <m:sub>
                  <m:r>
                    <m:t>k</m:t>
                  </m:r>
                  <m:r>
                    <m:rPr>
                      <m:sty m:val="p"/>
                    </m:rPr>
                    <m:t>=</m:t>
                  </m:r>
                  <m:r>
                    <m:t>1</m:t>
                  </m:r>
                </m:sub>
                <m:sup>
                  <m:r>
                    <m:t>M</m:t>
                  </m:r>
                </m:sup>
                <m:e>
                  <m:sSub>
                    <m:e>
                      <m:r>
                        <m:t>w</m:t>
                      </m:r>
                    </m:e>
                    <m:sub>
                      <m:r>
                        <m:t>j</m:t>
                      </m:r>
                      <m:r>
                        <m:t>i</m:t>
                      </m:r>
                    </m:sub>
                  </m:sSub>
                </m:e>
              </m:nary>
              <m:r>
                <m:rPr>
                  <m:sty m:val="p"/>
                </m:rPr>
                <m:t>⋅</m:t>
              </m:r>
              <m:sSub>
                <m:e>
                  <m:r>
                    <m:t>a</m:t>
                  </m:r>
                </m:e>
                <m:sub>
                  <m:r>
                    <m:t>i</m:t>
                  </m:r>
                </m:sub>
              </m:sSub>
              <m:d>
                <m:dPr>
                  <m:begChr m:val="("/>
                  <m:endChr m:val=")"/>
                  <m:sepChr m:val=""/>
                  <m:grow/>
                </m:dPr>
                <m:e>
                  <m:r>
                    <m:t>X</m:t>
                  </m:r>
                </m:e>
              </m:d>
            </m:oMath>
          </w:p>
        </w:tc>
        <w:tc>
          <w:tcPr/>
          <w:p>
            <w:pPr>
              <w:pStyle w:val="Compact"/>
              <w:jc w:val="left"/>
            </w:pPr>
            <w:r>
              <w:t xml:space="preserve">Activation of each Output unit</w:t>
            </w:r>
            <w:r>
              <w:t xml:space="preserve"> </w:t>
            </w:r>
            <m:oMath>
              <m:sSub>
                <m:e>
                  <m:r>
                    <m:t>O</m:t>
                  </m:r>
                </m:e>
                <m:sub>
                  <m:r>
                    <m:t>j</m:t>
                  </m:r>
                </m:sub>
              </m:sSub>
            </m:oMath>
            <w:r>
              <w:t xml:space="preserve"> </w:t>
            </w:r>
            <w:r>
              <w:t xml:space="preserve">is the weighted sum of the input activations and association weights.</w:t>
            </w:r>
          </w:p>
        </w:tc>
      </w:tr>
      <w:tr>
        <w:tc>
          <w:tcPr/>
          <w:p>
            <w:pPr>
              <w:pStyle w:val="Compact"/>
              <w:jc w:val="left"/>
            </w:pPr>
            <w:r>
              <w:t xml:space="preserve">Output Probability</w:t>
            </w:r>
          </w:p>
        </w:tc>
        <w:tc>
          <w:tcPr/>
          <w:p>
            <w:pPr>
              <w:pStyle w:val="Compact"/>
              <w:jc w:val="left"/>
            </w:pPr>
            <m:oMath>
              <m:r>
                <m:t>P</m:t>
              </m:r>
              <m:d>
                <m:dPr>
                  <m:begChr m:val="["/>
                  <m:endChr m:val="]"/>
                  <m:sepChr m:val=""/>
                  <m:grow/>
                </m:dPr>
                <m:e>
                  <m:sSub>
                    <m:e>
                      <m:r>
                        <m:t>Y</m:t>
                      </m:r>
                    </m:e>
                    <m:sub>
                      <m:r>
                        <m:t>j</m:t>
                      </m:r>
                    </m:sub>
                  </m:sSub>
                  <m:r>
                    <m:rPr>
                      <m:sty m:val="p"/>
                    </m:rPr>
                    <m:t>|</m:t>
                  </m:r>
                  <m:r>
                    <m:t>X</m:t>
                  </m:r>
                </m:e>
              </m:d>
              <m:r>
                <m:rPr>
                  <m:sty m:val="p"/>
                </m:rPr>
                <m:t>=</m:t>
              </m:r>
              <m:f>
                <m:fPr>
                  <m:type m:val="bar"/>
                </m:fPr>
                <m:num>
                  <m:sSub>
                    <m:e>
                      <m:r>
                        <m:t>O</m:t>
                      </m:r>
                    </m:e>
                    <m:sub>
                      <m:r>
                        <m:t>j</m:t>
                      </m:r>
                    </m:sub>
                  </m:sSub>
                  <m:d>
                    <m:dPr>
                      <m:begChr m:val="("/>
                      <m:endChr m:val=")"/>
                      <m:sepChr m:val=""/>
                      <m:grow/>
                    </m:dPr>
                    <m:e>
                      <m:r>
                        <m:t>X</m:t>
                      </m:r>
                    </m:e>
                  </m:d>
                </m:num>
                <m:den>
                  <m:nary>
                    <m:naryPr>
                      <m:chr m:val="∑"/>
                      <m:limLoc m:val="undOvr"/>
                      <m:subHide m:val="0"/>
                      <m:supHide m:val="0"/>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left"/>
            </w:pPr>
            <w:r>
              <w:t xml:space="preserve">Each output node has associated response,</w:t>
            </w:r>
            <w:r>
              <w:t xml:space="preserve"> </w:t>
            </w:r>
            <m:oMath>
              <m:sSub>
                <m:e>
                  <m:r>
                    <m:t>Y</m:t>
                  </m:r>
                </m:e>
                <m:sub>
                  <m:r>
                    <m:t>j</m:t>
                  </m:r>
                </m:sub>
              </m:sSub>
            </m:oMath>
            <w:r>
              <w:t xml:space="preserve">. The probability of response</w:t>
            </w:r>
            <w:r>
              <w:t xml:space="preserve"> </w:t>
            </w:r>
            <m:oMath>
              <m:sSub>
                <m:e>
                  <m:r>
                    <m:t>Y</m:t>
                  </m:r>
                </m:e>
                <m:sub>
                  <m:r>
                    <m:t>j</m:t>
                  </m:r>
                </m:sub>
              </m:sSub>
            </m:oMath>
            <w:r>
              <w:t xml:space="preserve"> </w:t>
            </w:r>
            <w:r>
              <w:t xml:space="preserve">is determined by the ratio of output activations.</w:t>
            </w:r>
          </w:p>
        </w:tc>
      </w:tr>
      <w:tr>
        <w:tc>
          <w:tcPr/>
          <w:p>
            <w:pPr>
              <w:pStyle w:val="Compact"/>
              <w:jc w:val="left"/>
            </w:pPr>
            <w:r>
              <w:t xml:space="preserve">Mean Output</w:t>
            </w:r>
          </w:p>
        </w:tc>
        <w:tc>
          <w:tcPr/>
          <w:p>
            <w:pPr>
              <w:pStyle w:val="Compact"/>
              <w:jc w:val="left"/>
            </w:pPr>
            <m:oMath>
              <m:r>
                <m:t>m</m:t>
              </m:r>
              <m:d>
                <m:dPr>
                  <m:begChr m:val="("/>
                  <m:endChr m:val=")"/>
                  <m:sepChr m:val=""/>
                  <m:grow/>
                </m:dPr>
                <m:e>
                  <m:r>
                    <m:t>x</m:t>
                  </m:r>
                </m:e>
              </m:d>
              <m:r>
                <m:rPr>
                  <m:sty m:val="p"/>
                </m:rPr>
                <m:t>=</m:t>
              </m:r>
              <m:nary>
                <m:naryPr>
                  <m:chr m:val="∑"/>
                  <m:limLoc m:val="undOvr"/>
                  <m:subHide m:val="0"/>
                  <m:supHide m:val="0"/>
                </m:naryPr>
                <m:sub>
                  <m:r>
                    <m:t>j</m:t>
                  </m:r>
                  <m:r>
                    <m:rPr>
                      <m:sty m:val="p"/>
                    </m:rPr>
                    <m:t>=</m:t>
                  </m:r>
                  <m:r>
                    <m:t>1</m:t>
                  </m:r>
                </m:sub>
                <m:sup>
                  <m:r>
                    <m:t>L</m:t>
                  </m:r>
                </m:sup>
                <m:e>
                  <m:sSub>
                    <m:e>
                      <m:r>
                        <m:t>Y</m:t>
                      </m:r>
                    </m:e>
                    <m:sub>
                      <m:r>
                        <m:t>j</m:t>
                      </m:r>
                    </m:sub>
                  </m:sSub>
                </m:e>
              </m:nary>
              <m:r>
                <m:rPr>
                  <m:sty m:val="p"/>
                </m:rPr>
                <m:t>⋅</m:t>
              </m:r>
              <m:f>
                <m:fPr>
                  <m:type m:val="bar"/>
                </m:fPr>
                <m:num>
                  <m:sSub>
                    <m:e>
                      <m:r>
                        <m:t>O</m:t>
                      </m:r>
                    </m:e>
                    <m:sub>
                      <m:r>
                        <m:t>j</m:t>
                      </m:r>
                    </m:sub>
                  </m:sSub>
                  <m:d>
                    <m:dPr>
                      <m:begChr m:val="("/>
                      <m:endChr m:val=")"/>
                      <m:sepChr m:val=""/>
                      <m:grow/>
                    </m:dPr>
                    <m:e>
                      <m:r>
                        <m:t>x</m:t>
                      </m:r>
                    </m:e>
                  </m:d>
                </m:num>
                <m:den>
                  <m:nary>
                    <m:naryPr>
                      <m:chr m:val="∑"/>
                      <m:limLoc m:val="undOvr"/>
                      <m:subHide m:val="0"/>
                      <m:supHide m:val="0"/>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left"/>
            </w:pPr>
            <w:r>
              <w:t xml:space="preserve">The response to stimulus x is the weighted average of the response probabilities.</w:t>
            </w:r>
          </w:p>
        </w:tc>
      </w:tr>
      <w:tr>
        <w:tc>
          <w:tcPr/>
          <w:p>
            <w:pPr>
              <w:pStyle w:val="Compact"/>
              <w:jc w:val="left"/>
            </w:pPr>
            <w:r>
              <w:rPr>
                <w:bCs/>
                <w:b/>
              </w:rPr>
              <w:t xml:space="preserve">ALM Learning</w:t>
            </w:r>
          </w:p>
        </w:tc>
        <w:tc>
          <w:tcPr/>
          <w:p>
            <w:pPr>
              <w:pStyle w:val="Compact"/>
            </w:pPr>
          </w:p>
        </w:tc>
        <w:tc>
          <w:tcPr/>
          <w:p>
            <w:pPr>
              <w:pStyle w:val="Compact"/>
            </w:pPr>
          </w:p>
        </w:tc>
      </w:tr>
      <w:tr>
        <w:tc>
          <w:tcPr/>
          <w:p>
            <w:pPr>
              <w:pStyle w:val="Compact"/>
              <w:jc w:val="left"/>
            </w:pPr>
            <w:r>
              <w:t xml:space="preserve">Feedback Activation</w:t>
            </w:r>
          </w:p>
        </w:tc>
        <w:tc>
          <w:tcPr/>
          <w:p>
            <w:pPr>
              <w:pStyle w:val="Compact"/>
              <w:jc w:val="left"/>
            </w:pPr>
            <m:oMath>
              <m:sSub>
                <m:e>
                  <m:r>
                    <m:t>f</m:t>
                  </m:r>
                </m:e>
                <m:sub>
                  <m:r>
                    <m:t>j</m:t>
                  </m:r>
                </m:sub>
              </m:sSub>
              <m:d>
                <m:dPr>
                  <m:begChr m:val="("/>
                  <m:endChr m:val=")"/>
                  <m:sepChr m:val=""/>
                  <m:grow/>
                </m:dPr>
                <m:e>
                  <m:r>
                    <m:t>Z</m:t>
                  </m:r>
                </m:e>
              </m:d>
              <m:r>
                <m:rPr>
                  <m:sty m:val="p"/>
                </m:rPr>
                <m:t>=</m:t>
              </m:r>
              <m:sSup>
                <m:e>
                  <m:r>
                    <m:t>e</m:t>
                  </m:r>
                </m:e>
                <m:sup>
                  <m:r>
                    <m:rPr>
                      <m:sty m:val="p"/>
                    </m:rPr>
                    <m:t>−</m:t>
                  </m:r>
                  <m:r>
                    <m:t>c</m:t>
                  </m:r>
                  <m:sSup>
                    <m:e>
                      <m:d>
                        <m:dPr>
                          <m:begChr m:val="("/>
                          <m:endChr m:val=")"/>
                          <m:sepChr m:val=""/>
                          <m:grow/>
                        </m:dPr>
                        <m:e>
                          <m:r>
                            <m:t>Z</m:t>
                          </m:r>
                          <m:r>
                            <m:rPr>
                              <m:sty m:val="p"/>
                            </m:rPr>
                            <m:t>−</m:t>
                          </m:r>
                          <m:sSub>
                            <m:e>
                              <m:r>
                                <m:t>Y</m:t>
                              </m:r>
                            </m:e>
                            <m:sub>
                              <m:r>
                                <m:t>j</m:t>
                              </m:r>
                            </m:sub>
                          </m:sSub>
                        </m:e>
                      </m:d>
                    </m:e>
                    <m:sup>
                      <m:r>
                        <m:t>2</m:t>
                      </m:r>
                    </m:sup>
                  </m:sSup>
                </m:sup>
              </m:sSup>
            </m:oMath>
          </w:p>
        </w:tc>
        <w:tc>
          <w:tcPr/>
          <w:p>
            <w:pPr>
              <w:pStyle w:val="Compact"/>
              <w:jc w:val="left"/>
            </w:pPr>
            <w:r>
              <w:t xml:space="preserve">After responding, feedback signal Z is presented, activating each output node via the Gaussian similarity to the ideal response.</w:t>
            </w:r>
          </w:p>
        </w:tc>
      </w:tr>
      <w:tr>
        <w:tc>
          <w:tcPr/>
          <w:p>
            <w:pPr>
              <w:pStyle w:val="Compact"/>
              <w:jc w:val="left"/>
            </w:pPr>
            <w:r>
              <w:t xml:space="preserve">Update Weights</w:t>
            </w:r>
          </w:p>
        </w:tc>
        <w:tc>
          <w:tcPr/>
          <w:p>
            <w:pPr>
              <w:pStyle w:val="Compact"/>
              <w:jc w:val="left"/>
            </w:pPr>
            <m:oMath>
              <m:sSub>
                <m:e>
                  <m:r>
                    <m:t>w</m:t>
                  </m:r>
                </m:e>
                <m:sub>
                  <m:r>
                    <m:t>j</m:t>
                  </m:r>
                  <m:r>
                    <m:t>i</m:t>
                  </m:r>
                </m:sub>
              </m:sSub>
              <m:d>
                <m:dPr>
                  <m:begChr m:val="("/>
                  <m:endChr m:val=")"/>
                  <m:sepChr m:val=""/>
                  <m:grow/>
                </m:dPr>
                <m:e>
                  <m:r>
                    <m:t>t</m:t>
                  </m:r>
                  <m:r>
                    <m:rPr>
                      <m:sty m:val="p"/>
                    </m:rPr>
                    <m:t>+</m:t>
                  </m:r>
                  <m:r>
                    <m:t>1</m:t>
                  </m:r>
                </m:e>
              </m:d>
              <m:r>
                <m:rPr>
                  <m:sty m:val="p"/>
                </m:rPr>
                <m:t>=</m:t>
              </m:r>
              <m:sSub>
                <m:e>
                  <m:r>
                    <m:t>w</m:t>
                  </m:r>
                </m:e>
                <m:sub>
                  <m:r>
                    <m:t>j</m:t>
                  </m:r>
                  <m:r>
                    <m:t>i</m:t>
                  </m:r>
                </m:sub>
              </m:sSub>
              <m:d>
                <m:dPr>
                  <m:begChr m:val="("/>
                  <m:endChr m:val=")"/>
                  <m:sepChr m:val=""/>
                  <m:grow/>
                </m:dPr>
                <m:e>
                  <m:r>
                    <m:t>t</m:t>
                  </m:r>
                </m:e>
              </m:d>
              <m:r>
                <m:rPr>
                  <m:sty m:val="p"/>
                </m:rPr>
                <m:t>+</m:t>
              </m:r>
              <m:r>
                <m:t>α</m:t>
              </m:r>
              <m:r>
                <m:rPr>
                  <m:sty m:val="p"/>
                </m:rPr>
                <m:t>⋅</m:t>
              </m:r>
              <m:r>
                <m:rPr>
                  <m:sty m:val="p"/>
                </m:rPr>
                <m:t>(</m:t>
              </m:r>
              <m:sSub>
                <m:e>
                  <m:r>
                    <m:t>f</m:t>
                  </m:r>
                </m:e>
                <m:sub>
                  <m:r>
                    <m:t>j</m:t>
                  </m:r>
                </m:sub>
              </m:sSub>
              <m:d>
                <m:dPr>
                  <m:begChr m:val="("/>
                  <m:endChr m:val=")"/>
                  <m:sepChr m:val=""/>
                  <m:grow/>
                </m:dPr>
                <m:e>
                  <m:r>
                    <m:t>Z</m:t>
                  </m:r>
                  <m:d>
                    <m:dPr>
                      <m:begChr m:val="("/>
                      <m:endChr m:val=")"/>
                      <m:sepChr m:val=""/>
                      <m:grow/>
                    </m:dPr>
                    <m:e>
                      <m:r>
                        <m:t>t</m:t>
                      </m:r>
                    </m:e>
                  </m:d>
                </m:e>
              </m:d>
              <m:r>
                <m:rPr>
                  <m:sty m:val="p"/>
                </m:rPr>
                <m:t>−</m:t>
              </m:r>
              <m:sSub>
                <m:e>
                  <m:r>
                    <m:t>O</m:t>
                  </m:r>
                </m:e>
                <m:sub>
                  <m:r>
                    <m:t>j</m:t>
                  </m:r>
                </m:sub>
              </m:sSub>
              <m:d>
                <m:dPr>
                  <m:begChr m:val="("/>
                  <m:endChr m:val=")"/>
                  <m:sepChr m:val=""/>
                  <m:grow/>
                </m:dPr>
                <m:e>
                  <m:r>
                    <m:t>X</m:t>
                  </m:r>
                  <m:d>
                    <m:dPr>
                      <m:begChr m:val="("/>
                      <m:endChr m:val=")"/>
                      <m:sepChr m:val=""/>
                      <m:grow/>
                    </m:dPr>
                    <m:e>
                      <m:r>
                        <m:t>t</m:t>
                      </m:r>
                    </m:e>
                  </m:d>
                </m:e>
              </m:d>
              <m:r>
                <m:rPr>
                  <m:sty m:val="p"/>
                </m:rPr>
                <m:t>⋅</m:t>
              </m:r>
              <m:sSub>
                <m:e>
                  <m:r>
                    <m:t>a</m:t>
                  </m:r>
                </m:e>
                <m:sub>
                  <m:r>
                    <m:t>i</m:t>
                  </m:r>
                </m:sub>
              </m:sSub>
              <m:d>
                <m:dPr>
                  <m:begChr m:val="("/>
                  <m:endChr m:val=")"/>
                  <m:sepChr m:val=""/>
                  <m:grow/>
                </m:dPr>
                <m:e>
                  <m:r>
                    <m:t>X</m:t>
                  </m:r>
                  <m:d>
                    <m:dPr>
                      <m:begChr m:val="("/>
                      <m:endChr m:val=")"/>
                      <m:sepChr m:val=""/>
                      <m:grow/>
                    </m:dPr>
                    <m:e>
                      <m:r>
                        <m:t>t</m:t>
                      </m:r>
                    </m:e>
                  </m:d>
                </m:e>
              </m:d>
            </m:oMath>
          </w:p>
        </w:tc>
        <w:tc>
          <w:tcPr/>
          <w:p>
            <w:pPr>
              <w:pStyle w:val="Compact"/>
              <w:jc w:val="left"/>
            </w:pPr>
            <w:r>
              <w:t xml:space="preserve">Delta rule to update weights. Magnitude of weight changes controlled by learning rate parameter alpha.</w:t>
            </w:r>
          </w:p>
        </w:tc>
      </w:tr>
      <w:tr>
        <w:tc>
          <w:tcPr/>
          <w:p>
            <w:pPr>
              <w:pStyle w:val="Compact"/>
              <w:jc w:val="left"/>
            </w:pPr>
            <w:r>
              <w:rPr>
                <w:bCs/>
                <w:b/>
              </w:rPr>
              <w:t xml:space="preserve">EXAM</w:t>
            </w:r>
          </w:p>
        </w:tc>
        <w:tc>
          <w:tcPr/>
          <w:p>
            <w:pPr>
              <w:pStyle w:val="Compact"/>
            </w:pPr>
          </w:p>
        </w:tc>
        <w:tc>
          <w:tcPr/>
          <w:p>
            <w:pPr>
              <w:pStyle w:val="Compact"/>
            </w:pPr>
          </w:p>
        </w:tc>
      </w:tr>
      <w:tr>
        <w:tc>
          <w:tcPr/>
          <w:p>
            <w:pPr>
              <w:pStyle w:val="Compact"/>
              <w:jc w:val="left"/>
            </w:pPr>
            <w:r>
              <w:t xml:space="preserve">Extrapolation</w:t>
            </w:r>
          </w:p>
        </w:tc>
        <w:tc>
          <w:tcPr/>
          <w:p>
            <w:pPr>
              <w:pStyle w:val="Compact"/>
              <w:jc w:val="left"/>
            </w:pPr>
            <m:oMath>
              <m:r>
                <m:t>P</m:t>
              </m:r>
              <m:d>
                <m:dPr>
                  <m:begChr m:val="["/>
                  <m:endChr m:val="]"/>
                  <m:sepChr m:val=""/>
                  <m:grow/>
                </m:dPr>
                <m:e>
                  <m:sSub>
                    <m:e>
                      <m:r>
                        <m:t>X</m:t>
                      </m:r>
                    </m:e>
                    <m:sub>
                      <m:r>
                        <m:t>i</m:t>
                      </m:r>
                    </m:sub>
                  </m:sSub>
                  <m:r>
                    <m:rPr>
                      <m:sty m:val="p"/>
                    </m:rPr>
                    <m:t>|</m:t>
                  </m:r>
                  <m:r>
                    <m:t>X</m:t>
                  </m:r>
                </m:e>
              </m:d>
              <m:r>
                <m:rPr>
                  <m:sty m:val="p"/>
                </m:rPr>
                <m:t>=</m:t>
              </m:r>
              <m:f>
                <m:fPr>
                  <m:type m:val="bar"/>
                </m:fPr>
                <m:num>
                  <m:sSub>
                    <m:e>
                      <m:r>
                        <m:t>a</m:t>
                      </m:r>
                    </m:e>
                    <m:sub>
                      <m:r>
                        <m:t>i</m:t>
                      </m:r>
                    </m:sub>
                  </m:sSub>
                  <m:d>
                    <m:dPr>
                      <m:begChr m:val="("/>
                      <m:endChr m:val=")"/>
                      <m:sepChr m:val=""/>
                      <m:grow/>
                    </m:dPr>
                    <m:e>
                      <m:r>
                        <m:t>X</m:t>
                      </m:r>
                    </m:e>
                  </m:d>
                </m:num>
                <m:den>
                  <m:nary>
                    <m:naryPr>
                      <m:chr m:val="∑"/>
                      <m:limLoc m:val="undOvr"/>
                      <m:subHide m:val="0"/>
                      <m:supHide m:val="0"/>
                    </m:naryPr>
                    <m:sub>
                      <m:r>
                        <m:t>k</m:t>
                      </m:r>
                      <m:r>
                        <m:rPr>
                          <m:sty m:val="p"/>
                        </m:rPr>
                        <m:t>=</m:t>
                      </m:r>
                      <m:r>
                        <m:t>1</m:t>
                      </m:r>
                    </m:sub>
                    <m:sup>
                      <m:r>
                        <m:t>M</m:t>
                      </m:r>
                    </m:sup>
                    <m:e>
                      <m:sSub>
                        <m:e>
                          <m:r>
                            <m:t>a</m:t>
                          </m:r>
                        </m:e>
                        <m:sub>
                          <m:r>
                            <m:t>k</m:t>
                          </m:r>
                        </m:sub>
                      </m:sSub>
                    </m:e>
                  </m:nary>
                  <m:d>
                    <m:dPr>
                      <m:begChr m:val="("/>
                      <m:endChr m:val=")"/>
                      <m:sepChr m:val=""/>
                      <m:grow/>
                    </m:dPr>
                    <m:e>
                      <m:r>
                        <m:t>X</m:t>
                      </m:r>
                    </m:e>
                  </m:d>
                </m:den>
              </m:f>
            </m:oMath>
          </w:p>
        </w:tc>
        <w:tc>
          <w:tcPr/>
          <w:p>
            <w:pPr>
              <w:pStyle w:val="Compact"/>
              <w:jc w:val="left"/>
            </w:pPr>
            <w:r>
              <w:t xml:space="preserve">Novel test stimulus X activates input nodes associated with trained stimuli.</w:t>
            </w:r>
          </w:p>
        </w:tc>
      </w:tr>
      <w:tr>
        <w:tc>
          <w:tcPr/>
          <w:p>
            <w:pPr>
              <w:pStyle w:val="Compact"/>
            </w:pPr>
          </w:p>
        </w:tc>
        <w:tc>
          <w:tcPr/>
          <w:p>
            <w:pPr>
              <w:pStyle w:val="Compact"/>
              <w:jc w:val="left"/>
            </w:pPr>
            <m:oMath>
              <m:r>
                <m:t>E</m:t>
              </m:r>
              <m:d>
                <m:dPr>
                  <m:begChr m:val="["/>
                  <m:endChr m:val="]"/>
                  <m:sepChr m:val=""/>
                  <m:grow/>
                </m:dPr>
                <m:e>
                  <m:r>
                    <m:t>Y</m:t>
                  </m:r>
                  <m:r>
                    <m:rPr>
                      <m:sty m:val="p"/>
                    </m:rPr>
                    <m:t>|</m:t>
                  </m:r>
                  <m:sSub>
                    <m:e>
                      <m:r>
                        <m:t>X</m:t>
                      </m:r>
                    </m:e>
                    <m:sub>
                      <m:r>
                        <m:t>i</m:t>
                      </m:r>
                    </m:sub>
                  </m:sSub>
                </m:e>
              </m:d>
              <m:r>
                <m:rPr>
                  <m:sty m:val="p"/>
                </m:rPr>
                <m:t>=</m:t>
              </m:r>
              <m:r>
                <m:t>m</m:t>
              </m:r>
              <m:d>
                <m:dPr>
                  <m:begChr m:val="("/>
                  <m:endChr m:val=")"/>
                  <m:sepChr m:val=""/>
                  <m:grow/>
                </m:dPr>
                <m:e>
                  <m:sSub>
                    <m:e>
                      <m:r>
                        <m:t>X</m:t>
                      </m:r>
                    </m:e>
                    <m:sub>
                      <m:r>
                        <m:t>i</m:t>
                      </m:r>
                    </m:sub>
                  </m:sSub>
                </m:e>
              </m:d>
              <m:r>
                <m:rPr>
                  <m:sty m:val="p"/>
                </m:rPr>
                <m:t>+</m:t>
              </m:r>
              <m:f>
                <m:fPr>
                  <m:type m:val="bar"/>
                </m:fPr>
                <m:num>
                  <m:r>
                    <m:t>m</m:t>
                  </m:r>
                  <m:d>
                    <m:dPr>
                      <m:begChr m:val="("/>
                      <m:endChr m:val=")"/>
                      <m:sepChr m:val=""/>
                      <m:grow/>
                    </m:dPr>
                    <m:e>
                      <m:sSub>
                        <m:e>
                          <m:r>
                            <m:t>X</m:t>
                          </m:r>
                        </m:e>
                        <m:sub>
                          <m:r>
                            <m:t>i</m:t>
                          </m:r>
                          <m:r>
                            <m:rPr>
                              <m:sty m:val="p"/>
                            </m:rPr>
                            <m:t>+</m:t>
                          </m:r>
                          <m:r>
                            <m:t>1</m:t>
                          </m:r>
                        </m:sub>
                      </m:sSub>
                    </m:e>
                  </m:d>
                  <m:r>
                    <m:rPr>
                      <m:sty m:val="p"/>
                    </m:rPr>
                    <m:t>−</m:t>
                  </m:r>
                  <m:r>
                    <m:t>m</m:t>
                  </m:r>
                  <m:d>
                    <m:dPr>
                      <m:begChr m:val="("/>
                      <m:endChr m:val=")"/>
                      <m:sepChr m:val=""/>
                      <m:grow/>
                    </m:dPr>
                    <m:e>
                      <m:sSub>
                        <m:e>
                          <m:r>
                            <m:t>X</m:t>
                          </m:r>
                        </m:e>
                        <m:sub>
                          <m:r>
                            <m:t>i</m:t>
                          </m:r>
                          <m:r>
                            <m:rPr>
                              <m:sty m:val="p"/>
                            </m:rPr>
                            <m:t>−</m:t>
                          </m:r>
                          <m:r>
                            <m:t>1</m:t>
                          </m:r>
                        </m:sub>
                      </m:sSub>
                    </m:e>
                  </m:d>
                </m:num>
                <m:den>
                  <m:sSub>
                    <m:e>
                      <m:r>
                        <m:t>X</m:t>
                      </m:r>
                    </m:e>
                    <m:sub>
                      <m:r>
                        <m:t>i</m:t>
                      </m:r>
                      <m:r>
                        <m:rPr>
                          <m:sty m:val="p"/>
                        </m:rPr>
                        <m:t>+</m:t>
                      </m:r>
                      <m:r>
                        <m:t>1</m:t>
                      </m:r>
                    </m:sub>
                  </m:sSub>
                  <m:r>
                    <m:rPr>
                      <m:sty m:val="p"/>
                    </m:rPr>
                    <m:t>−</m:t>
                  </m:r>
                  <m:sSub>
                    <m:e>
                      <m:r>
                        <m:t>X</m:t>
                      </m:r>
                    </m:e>
                    <m:sub>
                      <m:r>
                        <m:t>i</m:t>
                      </m:r>
                      <m:r>
                        <m:rPr>
                          <m:sty m:val="p"/>
                        </m:rPr>
                        <m:t>−</m:t>
                      </m:r>
                      <m:r>
                        <m:t>1</m:t>
                      </m:r>
                    </m:sub>
                  </m:sSub>
                </m:den>
              </m:f>
              <m:r>
                <m:rPr>
                  <m:sty m:val="p"/>
                </m:rPr>
                <m:t>⋅</m:t>
              </m:r>
              <m:d>
                <m:dPr>
                  <m:begChr m:val="["/>
                  <m:endChr m:val="]"/>
                  <m:sepChr m:val=""/>
                  <m:grow/>
                </m:dPr>
                <m:e>
                  <m:r>
                    <m:t>X</m:t>
                  </m:r>
                  <m:r>
                    <m:rPr>
                      <m:sty m:val="p"/>
                    </m:rPr>
                    <m:t>−</m:t>
                  </m:r>
                  <m:sSub>
                    <m:e>
                      <m:r>
                        <m:t>X</m:t>
                      </m:r>
                    </m:e>
                    <m:sub>
                      <m:r>
                        <m:t>i</m:t>
                      </m:r>
                    </m:sub>
                  </m:sSub>
                </m:e>
              </m:d>
            </m:oMath>
          </w:p>
        </w:tc>
        <w:tc>
          <w:tcPr/>
          <w:p>
            <w:pPr>
              <w:pStyle w:val="Compact"/>
              <w:jc w:val="left"/>
            </w:pPr>
            <w:r>
              <w:t xml:space="preserve">Slope value computed from nearest training instances and then added to the response associated with the nearest training instance,m(x)</w:t>
            </w:r>
          </w:p>
        </w:tc>
      </w:tr>
    </w:tbl>
    <w:p>
      <w:r>
        <w:br w:type="page"/>
      </w:r>
    </w:p>
    <w:bookmarkEnd w:id="177"/>
    <w:bookmarkEnd w:id="178"/>
    <w:bookmarkStart w:id="179" w:name="model-fitting-and-comparison"/>
    <w:p>
      <w:pPr>
        <w:pStyle w:val="Heading2"/>
      </w:pPr>
      <w:r>
        <w:t xml:space="preserve">Model Fitting and Comparison</w:t>
      </w:r>
    </w:p>
    <w:p>
      <w:pPr>
        <w:pStyle w:val="FirstParagraph"/>
      </w:pPr>
      <w:r>
        <w:t xml:space="preserve">Following the procedure used by</w:t>
      </w:r>
      <w:r>
        <w:t xml:space="preserve"> </w:t>
      </w:r>
      <w:r>
        <w:t xml:space="preserve">Mcdaniel et al. (</w:t>
      </w:r>
      <w:hyperlink w:anchor="X11f5d5b369bd61c109baf65d1e55e39f773ac1b">
        <w:r>
          <w:rPr>
            <w:rStyle w:val="Hyperlink"/>
          </w:rPr>
          <w:t xml:space="preserve">2009</w:t>
        </w:r>
      </w:hyperlink>
      <w:r>
        <w:t xml:space="preserve">)</w:t>
      </w:r>
      <w:r>
        <w:t xml:space="preserve">, we will assess the ability of both ALM and EXAM to account for the empirical data when fitting the models to 1) only the training data, and 2) both training and testing data. Models will be fit directly to the trial by trial data of each individual participants, both by minimizing the root-mean squared deviation (RMSE), and by maximizing log likelihood. Because ALM has been shown to do poorly at accounting for human patterns extrapolation</w:t>
      </w:r>
      <w:r>
        <w:t xml:space="preserve"> </w:t>
      </w:r>
      <w:r>
        <w:t xml:space="preserve">(</w:t>
      </w:r>
      <w:hyperlink w:anchor="ref-deloshExtrapolationSineQua1997">
        <w:r>
          <w:rPr>
            <w:rStyle w:val="Hyperlink"/>
          </w:rPr>
          <w:t xml:space="preserve">DeLosh et al., 1997</w:t>
        </w:r>
      </w:hyperlink>
      <w:r>
        <w:t xml:space="preserve">)</w:t>
      </w:r>
      <w:r>
        <w:t xml:space="preserve">, we will also fit the extended EXAM version of the model, which operates identically to ALM during training, but includes a linear extrapolation mechanism for generating novel responses during testing.</w:t>
      </w:r>
    </w:p>
    <w:p>
      <w:r>
        <w:br w:type="page"/>
      </w:r>
    </w:p>
    <w:bookmarkEnd w:id="179"/>
    <w:bookmarkEnd w:id="180"/>
    <w:bookmarkStart w:id="459" w:name="appendix"/>
    <w:p>
      <w:pPr>
        <w:pStyle w:val="Heading1"/>
      </w:pPr>
      <w:r>
        <w:t xml:space="preserve">Appendix</w:t>
      </w:r>
    </w:p>
    <w:bookmarkStart w:id="181" w:name="appendix---project-1"/>
    <w:p>
      <w:pPr>
        <w:pStyle w:val="Heading3"/>
      </w:pPr>
      <w:r>
        <w:t xml:space="preserve">Appendix - Project 1</w:t>
      </w:r>
    </w:p>
    <w:p>
      <w:pPr>
        <w:pStyle w:val="FirstParagraph"/>
      </w:pPr>
      <w:r>
        <w:t xml:space="preserve">Reviewer #2: This study addresses a question that is important both theoretically and practically. However, the authors need to rule out the following, less interesting alternative. Namely, the results could be due to task practice effect, as follows.</w:t>
      </w:r>
    </w:p>
    <w:p>
      <w:pPr>
        <w:pStyle w:val="BodyText"/>
      </w:pPr>
      <w:r>
        <w:t xml:space="preserve">Since there was no pre-training test, and no practice trials (as far as I can tell), and since the task was an online motor task that participants could not rely on their prior motor experience, trying to launch the ball to the target could only be done via trial and error. For the varied training group, they got to practice at two distances. Therefore, they had a better</w:t>
      </w:r>
      <w:r>
        <w:t xml:space="preserve"> </w:t>
      </w:r>
      <w:r>
        <w:t xml:space="preserve">“</w:t>
      </w:r>
      <w:r>
        <w:t xml:space="preserve">calibration</w:t>
      </w:r>
      <w:r>
        <w:t xml:space="preserve">”</w:t>
      </w:r>
      <w:r>
        <w:t xml:space="preserve"> </w:t>
      </w:r>
      <w:r>
        <w:t xml:space="preserve">in terms of the relationship between launching speed and target distance. This was likely beneficial both in Exp.1 when both transfer distances were interpolations from the two trained distances, and in Exp.2 when two transfer distances were interpolations and two were extrapolations but the latter two were immediately next to the training distances.</w:t>
      </w:r>
    </w:p>
    <w:p>
      <w:pPr>
        <w:pStyle w:val="BodyText"/>
      </w:pPr>
      <w:r>
        <w:t xml:space="preserve">In comparison, since the constant group trained at only a single distance, any transfer distance (or at least the first transfer distance tested) was extrapolation even if this transfer distance was shorter than the trained, because the participants did not know beforehand how to shoot the ball to the shortest distance due to the existence of the barrier. If the transfer distance was longer, for sure that was extrapolation.</w:t>
      </w:r>
    </w:p>
    <w:p>
      <w:pPr>
        <w:pStyle w:val="BodyText"/>
      </w:pPr>
      <w:r>
        <w:t xml:space="preserve">Regardless, the above analysis suggests that the constant group would always be a step behind the varied group. The number of trials at each transfer distance may not be sufficient for them to catch up the varied group either (whether there was learning during testing should be checked). If such disadvantage for the constant group is indeed due to the lack of tryout opportunities, then the authors should verify whether the same results still hold if all groups were provided opportunities to practice, or if pre-training tests across all distances were offered.</w:t>
      </w:r>
    </w:p>
    <w:bookmarkEnd w:id="181"/>
    <w:bookmarkStart w:id="182" w:name="Xdd9147c5ffcc3d48251a4883eb870a0d9d573ad"/>
    <w:p>
      <w:pPr>
        <w:pStyle w:val="Heading3"/>
      </w:pPr>
      <w:r>
        <w:t xml:space="preserve">exponential learning models fit to individual subjects</w:t>
      </w:r>
    </w:p>
    <w:bookmarkEnd w:id="182"/>
    <w:bookmarkStart w:id="183" w:name="group-comparison-of-learning-rate-fits"/>
    <w:p>
      <w:pPr>
        <w:pStyle w:val="Heading3"/>
      </w:pPr>
      <w:r>
        <w:t xml:space="preserve">Group comparison of learning rate fits</w:t>
      </w:r>
    </w:p>
    <w:p>
      <w:pPr>
        <w:pStyle w:val="FirstParagraph"/>
      </w:pPr>
    </w:p>
    <w:p>
      <w:pPr>
        <w:pStyle w:val="BodyText"/>
      </w:pPr>
    </w:p>
    <w:bookmarkEnd w:id="183"/>
    <w:bookmarkStart w:id="184" w:name="first-vs.-second-half-of-testing-stage"/>
    <w:p>
      <w:pPr>
        <w:pStyle w:val="Heading3"/>
      </w:pPr>
      <w:r>
        <w:t xml:space="preserve">First vs. second half of testing stage</w:t>
      </w:r>
    </w:p>
    <w:p>
      <w:pPr>
        <w:pStyle w:val="FirstParagraph"/>
      </w:pPr>
    </w:p>
    <w:bookmarkEnd w:id="184"/>
    <w:bookmarkStart w:id="185" w:name="X93a7550ffa21608e42ac1341e090fe4d104c3d2"/>
    <w:p>
      <w:pPr>
        <w:pStyle w:val="Heading3"/>
      </w:pPr>
      <w:r>
        <w:t xml:space="preserve">Group Comparison for asymptote-starting performance</w:t>
      </w:r>
    </w:p>
    <w:p>
      <w:pPr>
        <w:pStyle w:val="FirstParagraph"/>
      </w:pPr>
    </w:p>
    <w:bookmarkEnd w:id="185"/>
    <w:bookmarkStart w:id="191" w:name="relative-distance-and-underovershooting"/>
    <w:p>
      <w:pPr>
        <w:pStyle w:val="Heading3"/>
      </w:pPr>
      <w:r>
        <w:t xml:space="preserve">Relative distance and under/overshooting</w:t>
      </w:r>
    </w:p>
    <w:p>
      <w:pPr>
        <w:pStyle w:val="FirstParagraph"/>
      </w:pPr>
      <w:r>
        <w:t xml:space="preserve">Reviewer 3</w:t>
      </w:r>
      <w:r>
        <w:t xml:space="preserve"> </w:t>
      </w:r>
      <w:r>
        <w:t xml:space="preserve">Absolute versus relative distance: From a methodological standpoint, I understand the need to differentiate these two types of distance. However, from a theoretical perspective there may be some issue in differentiating these two concepts. Schema theory relies on relative (or invariant) information to inform the motor program. However, both distances would be important to an instance or exemplar representation. You may want to consider commenting on this issue.</w:t>
      </w:r>
    </w:p>
    <w:p>
      <w:pPr>
        <w:pStyle w:val="BodyText"/>
      </w:pPr>
      <w:r>
        <w:t xml:space="preserve">Reviewer 2</w:t>
      </w:r>
      <w:r>
        <w:t xml:space="preserve"> </w:t>
      </w:r>
      <w:r>
        <w:t xml:space="preserve">For the same reason, the plots showing improvement during training could be due to participants learning the task, rather than fine motor skills. Although task learning and motor learning are impossible to separate cleanly, the common practice in the field is indeed to offer practice trials to reduce the task learning aspects. The authors should address this.</w:t>
      </w:r>
    </w:p>
    <w:p>
      <w:pPr>
        <w:pStyle w:val="BodyText"/>
      </w:pPr>
      <w:r>
        <w:t xml:space="preserve">In addition to absolute errors (which is related to variance), the authors should also provide other measures of performance, e.g., the mean of the signed errors, so that readers have a better idea whether there was any meaningful over- or undershooting.</w:t>
      </w:r>
    </w:p>
    <w:bookmarkStart w:id="186" w:name="Xc3e95c6da4517bdf4aff184d27be1e50805257e"/>
    <w:p>
      <w:pPr>
        <w:pStyle w:val="Heading4"/>
      </w:pPr>
      <w:r>
        <w:t xml:space="preserve">experiment 1 training - relative distances</w:t>
      </w:r>
    </w:p>
    <w:p>
      <w:pPr>
        <w:pStyle w:val="FirstParagraph"/>
      </w:pPr>
    </w:p>
    <w:p>
      <w:pPr>
        <w:pStyle w:val="BodyText"/>
      </w:pPr>
    </w:p>
    <w:p>
      <w:pPr>
        <w:pStyle w:val="BodyText"/>
      </w:pPr>
    </w:p>
    <w:p>
      <w:pPr>
        <w:pStyle w:val="BodyText"/>
      </w:pPr>
    </w:p>
    <w:p>
      <w:pPr>
        <w:pStyle w:val="SourceCode"/>
      </w:pPr>
      <w:r>
        <w:rPr>
          <w:rStyle w:val="VerbatimChar"/>
        </w:rPr>
        <w:t xml:space="preserve">## </w:t>
      </w:r>
      <w:r>
        <w:br/>
      </w:r>
      <w:r>
        <w:rPr>
          <w:rStyle w:val="VerbatimChar"/>
        </w:rPr>
        <w:t xml:space="preserve">## =========================================================================</w:t>
      </w:r>
      <w:r>
        <w:br/>
      </w:r>
      <w:r>
        <w:rPr>
          <w:rStyle w:val="VerbatimChar"/>
        </w:rPr>
        <w:t xml:space="preserve">## conditType devianceDirection      610            760            910      </w:t>
      </w:r>
      <w:r>
        <w:br/>
      </w:r>
      <w:r>
        <w:rPr>
          <w:rStyle w:val="VerbatimChar"/>
        </w:rPr>
        <w:t xml:space="preserve">## -------------------------------------------------------------------------</w:t>
      </w:r>
      <w:r>
        <w:br/>
      </w:r>
      <w:r>
        <w:rPr>
          <w:rStyle w:val="VerbatimChar"/>
        </w:rPr>
        <w:t xml:space="preserve">## constant       Overshoot                    311.84(307.92)               </w:t>
      </w:r>
      <w:r>
        <w:br/>
      </w:r>
      <w:r>
        <w:rPr>
          <w:rStyle w:val="VerbatimChar"/>
        </w:rPr>
        <w:t xml:space="preserve">## constant      Undershoot                    188.05(163.62)               </w:t>
      </w:r>
      <w:r>
        <w:br/>
      </w:r>
      <w:r>
        <w:rPr>
          <w:rStyle w:val="VerbatimChar"/>
        </w:rPr>
        <w:t xml:space="preserve">## varied         Overshoot     211.69(234.97)                360.14(322.01)</w:t>
      </w:r>
      <w:r>
        <w:br/>
      </w:r>
      <w:r>
        <w:rPr>
          <w:rStyle w:val="VerbatimChar"/>
        </w:rPr>
        <w:t xml:space="preserve">## varied        Undershoot     107.35(81.21)                 244.85(196.47)</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conditType      610           760            910      </w:t>
      </w:r>
      <w:r>
        <w:br/>
      </w:r>
      <w:r>
        <w:rPr>
          <w:rStyle w:val="VerbatimChar"/>
        </w:rPr>
        <w:t xml:space="preserve">## ------------------------------------------------------</w:t>
      </w:r>
      <w:r>
        <w:br/>
      </w:r>
      <w:r>
        <w:rPr>
          <w:rStyle w:val="VerbatimChar"/>
        </w:rPr>
        <w:t xml:space="preserve">## constant                 121.03(269.17)               </w:t>
      </w:r>
      <w:r>
        <w:br/>
      </w:r>
      <w:r>
        <w:rPr>
          <w:rStyle w:val="VerbatimChar"/>
        </w:rPr>
        <w:t xml:space="preserve">## varied     39.91(178.12)                150.53(290.04)</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conditType     610           760            835            910      </w:t>
      </w:r>
      <w:r>
        <w:br/>
      </w:r>
      <w:r>
        <w:rPr>
          <w:rStyle w:val="VerbatimChar"/>
        </w:rPr>
        <w:t xml:space="preserve">## --------------------------------------------------------------------</w:t>
      </w:r>
      <w:r>
        <w:br/>
      </w:r>
      <w:r>
        <w:rPr>
          <w:rStyle w:val="VerbatimChar"/>
        </w:rPr>
        <w:t xml:space="preserve">## constant   7.13(124.02) 107.02(218.49) 142.42(252.34) 122.92(282.58)</w:t>
      </w:r>
      <w:r>
        <w:br/>
      </w:r>
      <w:r>
        <w:rPr>
          <w:rStyle w:val="VerbatimChar"/>
        </w:rPr>
        <w:t xml:space="preserve">## varied     3.19(96.67)   92.1(173.9)   103.84(214.4)  108.12(234.59)</w:t>
      </w:r>
      <w:r>
        <w:br/>
      </w:r>
      <w:r>
        <w:rPr>
          <w:rStyle w:val="VerbatimChar"/>
        </w:rPr>
        <w:t xml:space="preserve">## --------------------------------------------------------------------</w:t>
      </w:r>
    </w:p>
    <w:bookmarkEnd w:id="186"/>
    <w:bookmarkStart w:id="187" w:name="Xebb66b8a9398da33198071e38f4253f9277ff9a"/>
    <w:p>
      <w:pPr>
        <w:pStyle w:val="Heading4"/>
      </w:pPr>
      <w:r>
        <w:t xml:space="preserve">experiment 2 training - relative distances</w:t>
      </w:r>
    </w:p>
    <w:p>
      <w:pPr>
        <w:pStyle w:val="FirstParagraph"/>
      </w:pPr>
    </w:p>
    <w:p>
      <w:pPr>
        <w:pStyle w:val="BodyText"/>
      </w:pPr>
    </w:p>
    <w:bookmarkEnd w:id="187"/>
    <w:bookmarkStart w:id="188" w:name="X77e9c8adc05b75224ac91584290dd1ba3d14e86"/>
    <w:p>
      <w:pPr>
        <w:pStyle w:val="Heading4"/>
      </w:pPr>
      <w:r>
        <w:t xml:space="preserve">Experiment 1 Testing - relative distances</w:t>
      </w:r>
    </w:p>
    <w:p>
      <w:pPr>
        <w:pStyle w:val="FirstParagraph"/>
      </w:pPr>
    </w:p>
    <w:p>
      <w:pPr>
        <w:pStyle w:val="SourceCode"/>
      </w:pPr>
      <w:r>
        <w:rPr>
          <w:rStyle w:val="VerbatimChar"/>
        </w:rPr>
        <w:t xml:space="preserve">## </w:t>
      </w:r>
      <w:r>
        <w:br/>
      </w:r>
      <w:r>
        <w:rPr>
          <w:rStyle w:val="VerbatimChar"/>
        </w:rPr>
        <w:t xml:space="preserve">## ====================================================================================================================================</w:t>
      </w:r>
      <w:r>
        <w:br/>
      </w:r>
      <w:r>
        <w:rPr>
          <w:rStyle w:val="VerbatimChar"/>
        </w:rPr>
        <w:t xml:space="preserve">## conditType2         msdu_610       msdu_760       msdu_835       msdu_910      msds_610      msds_760      msds_835      msds_910   </w:t>
      </w:r>
      <w:r>
        <w:br/>
      </w:r>
      <w:r>
        <w:rPr>
          <w:rStyle w:val="VerbatimChar"/>
        </w:rPr>
        <w:t xml:space="preserve">## ------------------------------------------------------------------------------------------------------------------------------------</w:t>
      </w:r>
      <w:r>
        <w:br/>
      </w:r>
      <w:r>
        <w:rPr>
          <w:rStyle w:val="VerbatimChar"/>
        </w:rPr>
        <w:t xml:space="preserve">## Constant Training 136.27(84.29) 191.65(112.65) 219.46(139.91) 276.75(153.09) 25.28(158.98) 50.82(217.48) 73.14(250.93) 50.76(313.77)</w:t>
      </w:r>
      <w:r>
        <w:br/>
      </w:r>
      <w:r>
        <w:rPr>
          <w:rStyle w:val="VerbatimChar"/>
        </w:rPr>
        <w:t xml:space="preserve">## Varied Training   105.12(51.39)  149.37(93.4)  180.54(129.52) 198.64(137.84) 13.85(116.87) 50.59(169.59) 50.52(217.39) 49.94(237.71)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Condition              610           760           835           910     </w:t>
      </w:r>
      <w:r>
        <w:br/>
      </w:r>
      <w:r>
        <w:rPr>
          <w:rStyle w:val="VerbatimChar"/>
        </w:rPr>
        <w:t xml:space="preserve">## -------------------------------------------------------------------------</w:t>
      </w:r>
      <w:r>
        <w:br/>
      </w:r>
      <w:r>
        <w:rPr>
          <w:rStyle w:val="VerbatimChar"/>
        </w:rPr>
        <w:t xml:space="preserve">## Constant Training 25.28(158.98) 50.82(217.48) 73.14(250.93) 50.76(313.77)</w:t>
      </w:r>
      <w:r>
        <w:br/>
      </w:r>
      <w:r>
        <w:rPr>
          <w:rStyle w:val="VerbatimChar"/>
        </w:rPr>
        <w:t xml:space="preserve">## Varied Training   13.85(116.87) 50.59(169.59) 50.52(217.39) 49.94(237.71)</w:t>
      </w:r>
      <w:r>
        <w:br/>
      </w:r>
      <w:r>
        <w:rPr>
          <w:rStyle w:val="VerbatimChar"/>
        </w:rPr>
        <w:t xml:space="preserve">## -------------------------------------------------------------------------</w:t>
      </w:r>
    </w:p>
    <w:bookmarkEnd w:id="188"/>
    <w:bookmarkStart w:id="189" w:name="X02687049c396998ba0e6e20967afa346c43ab56"/>
    <w:p>
      <w:pPr>
        <w:pStyle w:val="Heading4"/>
      </w:pPr>
      <w:r>
        <w:t xml:space="preserve">Experiment 2 Testing - relative distances</w:t>
      </w:r>
    </w:p>
    <w:p>
      <w:pPr>
        <w:pStyle w:val="FirstParagraph"/>
      </w:pPr>
    </w:p>
    <w:bookmarkEnd w:id="189"/>
    <w:bookmarkStart w:id="190" w:name="experimenet-1---intermittent-testing"/>
    <w:p>
      <w:pPr>
        <w:pStyle w:val="Heading4"/>
      </w:pPr>
      <w:r>
        <w:t xml:space="preserve">Experimenet 1 - intermittent testing</w:t>
      </w:r>
    </w:p>
    <w:p>
      <w:pPr>
        <w:pStyle w:val="FirstParagraph"/>
      </w:pPr>
    </w:p>
    <w:p>
      <w:pPr>
        <w:pStyle w:val="SourceCode"/>
      </w:pPr>
      <w:r>
        <w:rPr>
          <w:rStyle w:val="VerbatimChar"/>
        </w:rPr>
        <w:t xml:space="preserve">## </w:t>
      </w:r>
      <w:r>
        <w:br/>
      </w:r>
      <w:r>
        <w:rPr>
          <w:rStyle w:val="VerbatimChar"/>
        </w:rPr>
        <w:t xml:space="preserve">## ======================================================================================================</w:t>
      </w:r>
      <w:r>
        <w:br/>
      </w:r>
      <w:r>
        <w:rPr>
          <w:rStyle w:val="VerbatimChar"/>
        </w:rPr>
        <w:t xml:space="preserve">## Condition 610_First Half 760_First Half 910_First Half 610_Second Half 760_Second Half 910_Second Half</w:t>
      </w:r>
      <w:r>
        <w:br/>
      </w:r>
      <w:r>
        <w:rPr>
          <w:rStyle w:val="VerbatimChar"/>
        </w:rPr>
        <w:t xml:space="preserve">## ------------------------------------------------------------------------------------------------------</w:t>
      </w:r>
      <w:r>
        <w:br/>
      </w:r>
      <w:r>
        <w:rPr>
          <w:rStyle w:val="VerbatimChar"/>
        </w:rPr>
        <w:t xml:space="preserve">## constant  206.64(82.08)  286.51(121.07) 406.93(145.2)   187.2(55.24)    238.21(95.16)  313.27(114.86) </w:t>
      </w:r>
      <w:r>
        <w:br/>
      </w:r>
      <w:r>
        <w:rPr>
          <w:rStyle w:val="VerbatimChar"/>
        </w:rPr>
        <w:t xml:space="preserve">## varied    195.68(78.58)  278.9(105.37)  318.53(134.81)  177.79(70.82)  224.98(108.04)   276.86(110.5) </w:t>
      </w:r>
      <w:r>
        <w:br/>
      </w:r>
      <w:r>
        <w:rPr>
          <w:rStyle w:val="VerbatimChar"/>
        </w:rPr>
        <w:t xml:space="preserve">## ------------------------------------------------------------------------------------------------------</w:t>
      </w:r>
    </w:p>
    <w:bookmarkEnd w:id="190"/>
    <w:bookmarkEnd w:id="191"/>
    <w:bookmarkStart w:id="196" w:name="training-plots---experiment-1"/>
    <w:p>
      <w:pPr>
        <w:pStyle w:val="Heading3"/>
      </w:pPr>
      <w:r>
        <w:t xml:space="preserve">Training plots - Experiment 1</w:t>
      </w:r>
    </w:p>
    <w:p>
      <w:pPr>
        <w:pStyle w:val="FirstParagraph"/>
      </w:pPr>
    </w:p>
    <w:p>
      <w:pPr>
        <w:pStyle w:val="BodyText"/>
      </w:pPr>
    </w:p>
    <w:p>
      <w:pPr>
        <w:pStyle w:val="BodyText"/>
      </w:pPr>
    </w:p>
    <w:bookmarkStart w:id="192" w:name="not-in-manuscript"/>
    <w:p>
      <w:pPr>
        <w:pStyle w:val="Heading4"/>
      </w:pPr>
      <w:r>
        <w:t xml:space="preserve">Not in manuscript</w:t>
      </w:r>
    </w:p>
    <w:bookmarkEnd w:id="192"/>
    <w:bookmarkStart w:id="193" w:name="X3612dd6dc6420b4d0ed63b722a8ec163fe1418d"/>
    <w:p>
      <w:pPr>
        <w:pStyle w:val="Heading4"/>
      </w:pPr>
      <w:r>
        <w:t xml:space="preserve">fit to testing performance averaged across positions</w:t>
      </w:r>
    </w:p>
    <w:p>
      <w:pPr>
        <w:pStyle w:val="FirstParagraph"/>
      </w:pPr>
    </w:p>
    <w:p>
      <w:pPr>
        <w:pStyle w:val="BodyText"/>
      </w:pPr>
    </w:p>
    <w:p>
      <w:pPr>
        <w:pStyle w:val="BodyText"/>
      </w:pPr>
    </w:p>
    <w:bookmarkEnd w:id="193"/>
    <w:bookmarkStart w:id="194" w:name="X733304843f493e747eda9b140e7cd0319e5c07f"/>
    <w:p>
      <w:pPr>
        <w:pStyle w:val="Heading4"/>
      </w:pPr>
      <w:r>
        <w:t xml:space="preserve">statistical tests for starting performance</w:t>
      </w:r>
    </w:p>
    <w:p>
      <w:pPr>
        <w:pStyle w:val="SourceCode"/>
      </w:pPr>
      <w:r>
        <w:rPr>
          <w:rStyle w:val="VerbatimChar"/>
        </w:rPr>
        <w:t xml:space="preserve">## ANOVA Table (type III tests)</w:t>
      </w:r>
      <w:r>
        <w:br/>
      </w:r>
      <w:r>
        <w:rPr>
          <w:rStyle w:val="VerbatimChar"/>
        </w:rPr>
        <w:t xml:space="preserve">## </w:t>
      </w:r>
      <w:r>
        <w:br/>
      </w:r>
      <w:r>
        <w:rPr>
          <w:rStyle w:val="VerbatimChar"/>
        </w:rPr>
        <w:t xml:space="preserve">##       Effect DFn DFd    F     p p&lt;.05   ges</w:t>
      </w:r>
      <w:r>
        <w:br/>
      </w:r>
      <w:r>
        <w:rPr>
          <w:rStyle w:val="VerbatimChar"/>
        </w:rPr>
        <w:t xml:space="preserve">## 1 conditType   1 206 3.04 0.083       0.015</w:t>
      </w:r>
    </w:p>
    <w:p>
      <w:pPr>
        <w:pStyle w:val="FirstParagraph"/>
      </w:pPr>
    </w:p>
    <w:bookmarkEnd w:id="194"/>
    <w:bookmarkStart w:id="195" w:name="statistical-tests-for-asymptote"/>
    <w:p>
      <w:pPr>
        <w:pStyle w:val="Heading4"/>
      </w:pPr>
      <w:r>
        <w:t xml:space="preserve">statistical tests for asymptote</w:t>
      </w:r>
    </w:p>
    <w:p>
      <w:pPr>
        <w:pStyle w:val="SourceCode"/>
      </w:pPr>
      <w:r>
        <w:rPr>
          <w:rStyle w:val="VerbatimChar"/>
        </w:rPr>
        <w:t xml:space="preserve">## ANOVA Table (type III tests)</w:t>
      </w:r>
      <w:r>
        <w:br/>
      </w:r>
      <w:r>
        <w:rPr>
          <w:rStyle w:val="VerbatimChar"/>
        </w:rPr>
        <w:t xml:space="preserve">## </w:t>
      </w:r>
      <w:r>
        <w:br/>
      </w:r>
      <w:r>
        <w:rPr>
          <w:rStyle w:val="VerbatimChar"/>
        </w:rPr>
        <w:t xml:space="preserve">##       Effect DFn DFd    F     p p&lt;.05   ges</w:t>
      </w:r>
      <w:r>
        <w:br/>
      </w:r>
      <w:r>
        <w:rPr>
          <w:rStyle w:val="VerbatimChar"/>
        </w:rPr>
        <w:t xml:space="preserve">## 1 conditType   1 206 3.38 0.067       0.016</w:t>
      </w:r>
    </w:p>
    <w:p>
      <w:pPr>
        <w:pStyle w:val="FirstParagraph"/>
      </w:pPr>
    </w:p>
    <w:p>
      <w:r>
        <w:br w:type="page"/>
      </w:r>
    </w:p>
    <w:bookmarkEnd w:id="195"/>
    <w:bookmarkEnd w:id="196"/>
    <w:bookmarkStart w:id="458" w:name="appendix---project-2---experiment-1"/>
    <w:p>
      <w:pPr>
        <w:pStyle w:val="Heading3"/>
      </w:pPr>
      <w:r>
        <w:t xml:space="preserve">Appendix - Project 2 - Experiment 1</w:t>
      </w:r>
    </w:p>
    <w:bookmarkStart w:id="199" w:name="posterior-predictive-distributions"/>
    <w:p>
      <w:pPr>
        <w:pStyle w:val="Heading4"/>
      </w:pPr>
      <w:r>
        <w:t xml:space="preserve">Posterior Predictive Distributions</w:t>
      </w:r>
    </w:p>
    <w:tbl>
      <w:tblPr>
        <w:tblStyle w:val="Table"/>
        <w:tblW w:type="pct" w:w="5000"/>
        <w:tblLook w:firstRow="0" w:lastRow="0" w:firstColumn="0" w:lastColumn="0" w:noHBand="0" w:noVBand="0" w:val="0000"/>
        <w:jc w:val="start"/>
        <w:tblLayout w:type="fixed"/>
      </w:tblPr>
      <w:tblGrid>
        <w:gridCol w:w="7920"/>
      </w:tblGrid>
      <w:tr>
        <w:tc>
          <w:tcPr/>
          <w:bookmarkStart w:id="197" w:name="fig-post-pred-dist"/>
          <w:p>
            <w:pPr>
              <w:pStyle w:val="Compact"/>
              <w:jc w:val="center"/>
            </w:pPr>
          </w:p>
          <w:p>
            <w:pPr>
              <w:jc w:val="center"/>
            </w:pPr>
            <w:pPr>
              <w:jc w:val="start"/>
              <w:spacing w:before="200"/>
              <w:pStyle w:val="ImageCaption"/>
            </w:pPr>
            <w:r>
              <w:t xml:space="preserve">Figure 24: Posterior Predictive distributions for Absolute Deviance. Posterior Draws in Blue, colored lines are empirical data.</w:t>
            </w:r>
          </w:p>
          <w:bookmarkEnd w:id="197"/>
        </w:tc>
      </w:tr>
    </w:tbl>
    <w:tbl>
      <w:tblPr>
        <w:tblStyle w:val="Table"/>
        <w:tblW w:type="pct" w:w="5000"/>
        <w:tblLook w:firstRow="0" w:lastRow="0" w:firstColumn="0" w:lastColumn="0" w:noHBand="0" w:noVBand="0" w:val="0000"/>
        <w:jc w:val="start"/>
        <w:tblLayout w:type="fixed"/>
      </w:tblPr>
      <w:tblGrid>
        <w:gridCol w:w="7920"/>
      </w:tblGrid>
      <w:tr>
        <w:tc>
          <w:tcPr/>
          <w:bookmarkStart w:id="198" w:name="fig-post-pred-vx"/>
          <w:p>
            <w:pPr>
              <w:pStyle w:val="Compact"/>
              <w:jc w:val="center"/>
            </w:pPr>
          </w:p>
          <w:p>
            <w:pPr>
              <w:jc w:val="center"/>
            </w:pPr>
            <w:pPr>
              <w:jc w:val="start"/>
              <w:spacing w:before="200"/>
              <w:pStyle w:val="ImageCaption"/>
            </w:pPr>
            <w:r>
              <w:t xml:space="preserve">Figure 25: Posterior Predictive distributions for Vx. Posterior Draws in Blue, colored lines are empirical data.</w:t>
            </w:r>
          </w:p>
          <w:bookmarkEnd w:id="198"/>
        </w:tc>
      </w:tr>
    </w:tbl>
    <w:bookmarkEnd w:id="199"/>
    <w:bookmarkStart w:id="201" w:name="empirical-vs.-predicted"/>
    <w:p>
      <w:pPr>
        <w:pStyle w:val="Heading4"/>
      </w:pPr>
      <w:r>
        <w:t xml:space="preserve">Empirical vs. Predicted</w:t>
      </w:r>
    </w:p>
    <w:tbl>
      <w:tblPr>
        <w:tblStyle w:val="Table"/>
        <w:tblW w:type="pct" w:w="5000"/>
        <w:tblLook w:firstRow="0" w:lastRow="0" w:firstColumn="0" w:lastColumn="0" w:noHBand="0" w:noVBand="0" w:val="0000"/>
        <w:jc w:val="start"/>
        <w:tblLayout w:type="fixed"/>
      </w:tblPr>
      <w:tblGrid>
        <w:gridCol w:w="7920"/>
      </w:tblGrid>
      <w:tr>
        <w:tc>
          <w:tcPr/>
          <w:bookmarkStart w:id="200" w:name="fig-empVsPred"/>
          <w:p>
            <w:pPr>
              <w:pStyle w:val="Compact"/>
              <w:jc w:val="center"/>
            </w:pPr>
          </w:p>
          <w:p>
            <w:pPr>
              <w:jc w:val="center"/>
            </w:pPr>
            <w:pPr>
              <w:jc w:val="start"/>
              <w:spacing w:before="200"/>
              <w:pStyle w:val="ImageCaption"/>
            </w:pPr>
            <w:r>
              <w:t xml:space="preserve">Figure 26: Bayesian Mixed Model predictions vs. Empirical Predictions - X velocity</w:t>
            </w:r>
          </w:p>
          <w:bookmarkEnd w:id="200"/>
        </w:tc>
      </w:tr>
    </w:tbl>
    <w:bookmarkEnd w:id="201"/>
    <w:bookmarkStart w:id="457" w:name="different-aggregations"/>
    <w:p>
      <w:pPr>
        <w:pStyle w:val="Heading4"/>
      </w:pPr>
      <w:r>
        <w:t xml:space="preserve">Different Aggregations</w:t>
      </w:r>
    </w:p>
    <w:tbl>
      <w:tblPr>
        <w:tblStyle w:val="Table"/>
        <w:tblW w:type="pct" w:w="5000"/>
        <w:tblLook w:firstRow="0" w:lastRow="0" w:firstColumn="0" w:lastColumn="0" w:noHBand="0" w:noVBand="0" w:val="0000"/>
        <w:jc w:val="start"/>
        <w:tblLayout w:type="fixed"/>
      </w:tblPr>
      <w:tblGrid>
        <w:gridCol w:w="7920"/>
      </w:tblGrid>
      <w:tr>
        <w:tc>
          <w:tcPr/>
          <w:bookmarkStart w:id="202" w:name="fig-empirical-distGrp1"/>
          <w:p>
            <w:pPr>
              <w:pStyle w:val="Compact"/>
              <w:jc w:val="center"/>
            </w:pPr>
          </w:p>
          <w:p>
            <w:pPr>
              <w:jc w:val="center"/>
            </w:pPr>
            <w:pPr>
              <w:jc w:val="start"/>
              <w:spacing w:before="200"/>
              <w:pStyle w:val="ImageCaption"/>
            </w:pPr>
            <w:r>
              <w:t xml:space="preserve">Figure 27: E1. Distribution of Vx at Participant level</w:t>
            </w:r>
          </w:p>
          <w:bookmarkEnd w:id="202"/>
        </w:tc>
      </w:tr>
    </w:tbl>
    <w:tbl>
      <w:tblPr>
        <w:tblStyle w:val="Table"/>
        <w:tblW w:type="pct" w:w="5000"/>
        <w:tblLook w:firstRow="0" w:lastRow="0" w:firstColumn="0" w:lastColumn="0" w:noHBand="0" w:noVBand="0" w:val="0000"/>
        <w:jc w:val="start"/>
        <w:tblLayout w:type="fixed"/>
      </w:tblPr>
      <w:tblGrid>
        <w:gridCol w:w="7920"/>
      </w:tblGrid>
      <w:tr>
        <w:tc>
          <w:tcPr/>
          <w:bookmarkStart w:id="203" w:name="fig-empirical-distGrp2"/>
          <w:p>
            <w:pPr>
              <w:pStyle w:val="Compact"/>
              <w:jc w:val="center"/>
            </w:pPr>
          </w:p>
          <w:p>
            <w:pPr>
              <w:jc w:val="center"/>
            </w:pPr>
            <w:pPr>
              <w:jc w:val="start"/>
              <w:spacing w:before="200"/>
              <w:pStyle w:val="ImageCaption"/>
            </w:pPr>
            <w:r>
              <w:t xml:space="preserve">Figure 28: E1. Distribution of Vx at Trial level</w:t>
            </w:r>
          </w:p>
          <w:bookmarkEnd w:id="203"/>
        </w:tc>
      </w:tr>
    </w:tbl>
    <w:tbl>
      <w:tblPr>
        <w:tblStyle w:val="Table"/>
        <w:tblW w:type="pct" w:w="5000"/>
        <w:tblLook w:firstRow="0" w:lastRow="0" w:firstColumn="0" w:lastColumn="0" w:noHBand="0" w:noVBand="0" w:val="0000"/>
        <w:jc w:val="start"/>
        <w:tblLayout w:type="fixed"/>
      </w:tblPr>
      <w:tblGrid>
        <w:gridCol w:w="7920"/>
      </w:tblGrid>
      <w:tr>
        <w:tc>
          <w:tcPr/>
          <w:bookmarkStart w:id="204" w:name="fig-e1-ame"/>
          <w:p>
            <w:pPr>
              <w:pStyle w:val="Compact"/>
              <w:jc w:val="center"/>
            </w:pPr>
          </w:p>
          <w:p>
            <w:pPr>
              <w:jc w:val="center"/>
            </w:pPr>
            <w:pPr>
              <w:jc w:val="start"/>
              <w:spacing w:before="200"/>
              <w:pStyle w:val="ImageCaption"/>
            </w:pPr>
            <w:r>
              <w:t xml:space="preserve">Figure 29: E1. Predicted Means Per Condition and Band, and Average Marginal Effect (Constant - Varied)</w:t>
            </w:r>
          </w:p>
          <w:bookmarkEnd w:id="204"/>
        </w:tc>
      </w:tr>
    </w:tbl>
    <w:bookmarkStart w:id="456" w:name="refs"/>
    <w:bookmarkStart w:id="205" w:name="ref-ahaConceptLearningFlexible1992"/>
    <w:p>
      <w:pPr>
        <w:pStyle w:val="Bibliography"/>
      </w:pPr>
      <w:r>
        <w:t xml:space="preserve">Aha, D. W., &amp; Goldstone, R. L. (1992). Concept</w:t>
      </w:r>
      <w:r>
        <w:t xml:space="preserve"> </w:t>
      </w:r>
      <w:r>
        <w:t xml:space="preserve">Learning</w:t>
      </w:r>
      <w:r>
        <w:t xml:space="preserve"> </w:t>
      </w:r>
      <w:r>
        <w:t xml:space="preserve">and</w:t>
      </w:r>
      <w:r>
        <w:t xml:space="preserve"> </w:t>
      </w:r>
      <w:r>
        <w:t xml:space="preserve">Flexible Weighting</w:t>
      </w:r>
      <w:r>
        <w:t xml:space="preserve">.</w:t>
      </w:r>
      <w:r>
        <w:t xml:space="preserve"> </w:t>
      </w:r>
      <w:r>
        <w:rPr>
          <w:iCs/>
          <w:i/>
        </w:rPr>
        <w:t xml:space="preserve">In</w:t>
      </w:r>
      <w:r>
        <w:rPr>
          <w:iCs/>
          <w:i/>
        </w:rPr>
        <w:t xml:space="preserve"> </w:t>
      </w:r>
      <w:r>
        <w:rPr>
          <w:iCs/>
          <w:i/>
        </w:rPr>
        <w:t xml:space="preserve">Proceedings</w:t>
      </w:r>
      <w:r>
        <w:rPr>
          <w:iCs/>
          <w:i/>
        </w:rPr>
        <w:t xml:space="preserve"> </w:t>
      </w:r>
      <w:r>
        <w:rPr>
          <w:iCs/>
          <w:i/>
        </w:rPr>
        <w:t xml:space="preserve">of the</w:t>
      </w:r>
      <w:r>
        <w:rPr>
          <w:iCs/>
          <w:i/>
        </w:rPr>
        <w:t xml:space="preserve"> </w:t>
      </w:r>
      <w:r>
        <w:rPr>
          <w:iCs/>
          <w:i/>
        </w:rPr>
        <w:t xml:space="preserve">Fourteenth Annual Conference</w:t>
      </w:r>
      <w:r>
        <w:rPr>
          <w:iCs/>
          <w:i/>
        </w:rPr>
        <w:t xml:space="preserve"> </w:t>
      </w:r>
      <w:r>
        <w:rPr>
          <w:iCs/>
          <w:i/>
        </w:rPr>
        <w:t xml:space="preserve">of the</w:t>
      </w:r>
      <w:r>
        <w:rPr>
          <w:iCs/>
          <w:i/>
        </w:rPr>
        <w:t xml:space="preserve"> </w:t>
      </w:r>
      <w:r>
        <w:rPr>
          <w:iCs/>
          <w:i/>
        </w:rPr>
        <w:t xml:space="preserve">Cognitive Science Society</w:t>
      </w:r>
      <w:r>
        <w:t xml:space="preserve">, 534–539.</w:t>
      </w:r>
    </w:p>
    <w:bookmarkEnd w:id="205"/>
    <w:bookmarkStart w:id="207" w:name="ref-albaretDifferentialEffectsTask1998"/>
    <w:p>
      <w:pPr>
        <w:pStyle w:val="Bibliography"/>
      </w:pPr>
      <w:r>
        <w:t xml:space="preserve">Albaret, J.-M., &amp; Thon, B. (1998). Differential effects of task complexity on contextual interference in a drawing task.</w:t>
      </w:r>
      <w:r>
        <w:t xml:space="preserve"> </w:t>
      </w:r>
      <w:r>
        <w:rPr>
          <w:iCs/>
          <w:i/>
        </w:rPr>
        <w:t xml:space="preserve">Acta Psychologica</w:t>
      </w:r>
      <w:r>
        <w:t xml:space="preserve">,</w:t>
      </w:r>
      <w:r>
        <w:t xml:space="preserve"> </w:t>
      </w:r>
      <w:r>
        <w:rPr>
          <w:iCs/>
          <w:i/>
        </w:rPr>
        <w:t xml:space="preserve">100</w:t>
      </w:r>
      <w:r>
        <w:t xml:space="preserve">(1), 9–24.</w:t>
      </w:r>
      <w:r>
        <w:t xml:space="preserve"> </w:t>
      </w:r>
      <w:hyperlink r:id="rId206">
        <w:r>
          <w:rPr>
            <w:rStyle w:val="Hyperlink"/>
          </w:rPr>
          <w:t xml:space="preserve">https://doi.org/10.1016/S0001-6918(98)00022-5</w:t>
        </w:r>
      </w:hyperlink>
    </w:p>
    <w:bookmarkEnd w:id="207"/>
    <w:bookmarkStart w:id="209" w:name="ref-barnettWhenWhereWe2002"/>
    <w:p>
      <w:pPr>
        <w:pStyle w:val="Bibliography"/>
      </w:pPr>
      <w:r>
        <w:t xml:space="preserve">Barnett, S. M., &amp; Ceci, S. J. (2002). When and where do we apply what we learn?:</w:t>
      </w:r>
      <w:r>
        <w:t xml:space="preserve"> </w:t>
      </w:r>
      <w:r>
        <w:t xml:space="preserve">A</w:t>
      </w:r>
      <w:r>
        <w:t xml:space="preserve"> </w:t>
      </w:r>
      <w:r>
        <w:t xml:space="preserve">taxonomy for far transfer.</w:t>
      </w:r>
      <w:r>
        <w:t xml:space="preserve"> </w:t>
      </w:r>
      <w:r>
        <w:rPr>
          <w:iCs/>
          <w:i/>
        </w:rPr>
        <w:t xml:space="preserve">Psychological Bulletin</w:t>
      </w:r>
      <w:r>
        <w:t xml:space="preserve">,</w:t>
      </w:r>
      <w:r>
        <w:t xml:space="preserve"> </w:t>
      </w:r>
      <w:r>
        <w:rPr>
          <w:iCs/>
          <w:i/>
        </w:rPr>
        <w:t xml:space="preserve">128</w:t>
      </w:r>
      <w:r>
        <w:t xml:space="preserve">(4), 612–637.</w:t>
      </w:r>
      <w:r>
        <w:t xml:space="preserve"> </w:t>
      </w:r>
      <w:hyperlink r:id="rId208">
        <w:r>
          <w:rPr>
            <w:rStyle w:val="Hyperlink"/>
          </w:rPr>
          <w:t xml:space="preserve">https://doi.org/10.1037//0033-2909.128.4.612</w:t>
        </w:r>
      </w:hyperlink>
    </w:p>
    <w:bookmarkEnd w:id="209"/>
    <w:bookmarkStart w:id="210" w:name="ref-battigFacilitationInterference1966"/>
    <w:p>
      <w:pPr>
        <w:pStyle w:val="Bibliography"/>
      </w:pPr>
      <w:r>
        <w:t xml:space="preserve">Battig, W. F. (1966). Facilitation and interference.</w:t>
      </w:r>
      <w:r>
        <w:t xml:space="preserve"> </w:t>
      </w:r>
      <w:r>
        <w:rPr>
          <w:iCs/>
          <w:i/>
        </w:rPr>
        <w:t xml:space="preserve">Acquisition of Skill</w:t>
      </w:r>
      <w:r>
        <w:t xml:space="preserve">, 215–244.</w:t>
      </w:r>
    </w:p>
    <w:bookmarkEnd w:id="210"/>
    <w:bookmarkStart w:id="212" w:name="ref-bernikerEffectsTrainingBreadth2014"/>
    <w:p>
      <w:pPr>
        <w:pStyle w:val="Bibliography"/>
      </w:pPr>
      <w:r>
        <w:t xml:space="preserve">Berniker, M., Mirzaei, H., &amp; Kording, K. P. (2014). The effects of training breadth on motor generalization.</w:t>
      </w:r>
      <w:r>
        <w:t xml:space="preserve"> </w:t>
      </w:r>
      <w:r>
        <w:rPr>
          <w:iCs/>
          <w:i/>
        </w:rPr>
        <w:t xml:space="preserve">Journal of Neurophysiology</w:t>
      </w:r>
      <w:r>
        <w:t xml:space="preserve">,</w:t>
      </w:r>
      <w:r>
        <w:t xml:space="preserve"> </w:t>
      </w:r>
      <w:r>
        <w:rPr>
          <w:iCs/>
          <w:i/>
        </w:rPr>
        <w:t xml:space="preserve">112</w:t>
      </w:r>
      <w:r>
        <w:t xml:space="preserve">(11), 2791–2798.</w:t>
      </w:r>
      <w:r>
        <w:t xml:space="preserve"> </w:t>
      </w:r>
      <w:hyperlink r:id="rId211">
        <w:r>
          <w:rPr>
            <w:rStyle w:val="Hyperlink"/>
          </w:rPr>
          <w:t xml:space="preserve">https://doi.org/10.1152/jn.00615.2013</w:t>
        </w:r>
      </w:hyperlink>
    </w:p>
    <w:bookmarkEnd w:id="212"/>
    <w:bookmarkStart w:id="213" w:name="ref-bjorkNewTheoryDisuse1992"/>
    <w:p>
      <w:pPr>
        <w:pStyle w:val="Bibliography"/>
      </w:pPr>
      <w:r>
        <w:t xml:space="preserve">Bjork, R. A., &amp; Bjork, E. L. (1992). A</w:t>
      </w:r>
      <w:r>
        <w:t xml:space="preserve"> </w:t>
      </w:r>
      <w:r>
        <w:t xml:space="preserve">New Theory</w:t>
      </w:r>
      <w:r>
        <w:t xml:space="preserve"> </w:t>
      </w:r>
      <w:r>
        <w:t xml:space="preserve">of</w:t>
      </w:r>
      <w:r>
        <w:t xml:space="preserve"> </w:t>
      </w:r>
      <w:r>
        <w:t xml:space="preserve">Disuse</w:t>
      </w:r>
      <w:r>
        <w:t xml:space="preserve"> </w:t>
      </w:r>
      <w:r>
        <w:t xml:space="preserve">and an</w:t>
      </w:r>
      <w:r>
        <w:t xml:space="preserve"> </w:t>
      </w:r>
      <w:r>
        <w:t xml:space="preserve">Old Theory</w:t>
      </w:r>
      <w:r>
        <w:t xml:space="preserve"> </w:t>
      </w:r>
      <w:r>
        <w:t xml:space="preserve">of</w:t>
      </w:r>
      <w:r>
        <w:t xml:space="preserve"> </w:t>
      </w:r>
      <w:r>
        <w:t xml:space="preserve">Stimulus Fluctuation</w:t>
      </w:r>
      <w:r>
        <w:t xml:space="preserve">. In</w:t>
      </w:r>
      <w:r>
        <w:t xml:space="preserve"> </w:t>
      </w:r>
      <w:r>
        <w:rPr>
          <w:iCs/>
          <w:i/>
        </w:rPr>
        <w:t xml:space="preserve">Learning processes to cognitive processes:</w:t>
      </w:r>
      <w:r>
        <w:rPr>
          <w:iCs/>
          <w:i/>
        </w:rPr>
        <w:t xml:space="preserve"> </w:t>
      </w:r>
      <w:r>
        <w:rPr>
          <w:iCs/>
          <w:i/>
        </w:rPr>
        <w:t xml:space="preserve">Essays</w:t>
      </w:r>
      <w:r>
        <w:rPr>
          <w:iCs/>
          <w:i/>
        </w:rPr>
        <w:t xml:space="preserve"> </w:t>
      </w:r>
      <w:r>
        <w:rPr>
          <w:iCs/>
          <w:i/>
        </w:rPr>
        <w:t xml:space="preserve">in honor of</w:t>
      </w:r>
      <w:r>
        <w:rPr>
          <w:iCs/>
          <w:i/>
        </w:rPr>
        <w:t xml:space="preserve"> </w:t>
      </w:r>
      <w:r>
        <w:rPr>
          <w:iCs/>
          <w:i/>
        </w:rPr>
        <w:t xml:space="preserve">William K</w:t>
      </w:r>
      <w:r>
        <w:rPr>
          <w:iCs/>
          <w:i/>
        </w:rPr>
        <w:t xml:space="preserve">.</w:t>
      </w:r>
      <w:r>
        <w:rPr>
          <w:iCs/>
          <w:i/>
        </w:rPr>
        <w:t xml:space="preserve"> </w:t>
      </w:r>
      <w:r>
        <w:rPr>
          <w:iCs/>
          <w:i/>
        </w:rPr>
        <w:t xml:space="preserve">Estes</w:t>
      </w:r>
      <w:r>
        <w:t xml:space="preserve"> </w:t>
      </w:r>
      <w:r>
        <w:t xml:space="preserve">(Vol. 2, pp. 35–67).</w:t>
      </w:r>
    </w:p>
    <w:bookmarkEnd w:id="213"/>
    <w:bookmarkStart w:id="215" w:name="Xa44c513e8b953936c2872f16be938b25afbc6c8"/>
    <w:p>
      <w:pPr>
        <w:pStyle w:val="Bibliography"/>
      </w:pPr>
      <w:r>
        <w:t xml:space="preserve">Bott, L., &amp; Heit, E. (2004). Nonmonotonic</w:t>
      </w:r>
      <w:r>
        <w:t xml:space="preserve"> </w:t>
      </w:r>
      <w:r>
        <w:t xml:space="preserve">Extrapolation</w:t>
      </w:r>
      <w:r>
        <w:t xml:space="preserve"> </w:t>
      </w:r>
      <w:r>
        <w:t xml:space="preserve">in</w:t>
      </w:r>
      <w:r>
        <w:t xml:space="preserve"> </w:t>
      </w:r>
      <w:r>
        <w:t xml:space="preserve">Function Learning</w:t>
      </w:r>
      <w:r>
        <w:t xml:space="preserve">.</w:t>
      </w:r>
      <w:r>
        <w:t xml:space="preserve"> </w:t>
      </w:r>
      <w:r>
        <w:rPr>
          <w:iCs/>
          <w:i/>
        </w:rPr>
        <w:t xml:space="preserve">Journal of Experimental Psychology: Learning, Memory, and Cognition</w:t>
      </w:r>
      <w:r>
        <w:t xml:space="preserve">,</w:t>
      </w:r>
      <w:r>
        <w:t xml:space="preserve"> </w:t>
      </w:r>
      <w:r>
        <w:rPr>
          <w:iCs/>
          <w:i/>
        </w:rPr>
        <w:t xml:space="preserve">30</w:t>
      </w:r>
      <w:r>
        <w:t xml:space="preserve">(1), 38–50.</w:t>
      </w:r>
      <w:r>
        <w:t xml:space="preserve"> </w:t>
      </w:r>
      <w:hyperlink r:id="rId214">
        <w:r>
          <w:rPr>
            <w:rStyle w:val="Hyperlink"/>
          </w:rPr>
          <w:t xml:space="preserve">https://doi.org/10.1037/0278-7393.30.1.38</w:t>
        </w:r>
      </w:hyperlink>
    </w:p>
    <w:bookmarkEnd w:id="215"/>
    <w:bookmarkStart w:id="217" w:name="ref-braithwaiteEffectsVariationPrior2015"/>
    <w:p>
      <w:pPr>
        <w:pStyle w:val="Bibliography"/>
      </w:pPr>
      <w:r>
        <w:t xml:space="preserve">Braithwaite, D. W., &amp; Goldstone, R. L. (2015). Effects of</w:t>
      </w:r>
      <w:r>
        <w:t xml:space="preserve"> </w:t>
      </w:r>
      <w:r>
        <w:t xml:space="preserve">Variation</w:t>
      </w:r>
      <w:r>
        <w:t xml:space="preserve"> </w:t>
      </w:r>
      <w:r>
        <w:t xml:space="preserve">and</w:t>
      </w:r>
      <w:r>
        <w:t xml:space="preserve"> </w:t>
      </w:r>
      <w:r>
        <w:t xml:space="preserve">Prior Knowledge</w:t>
      </w:r>
      <w:r>
        <w:t xml:space="preserve"> </w:t>
      </w:r>
      <w:r>
        <w:t xml:space="preserve">on</w:t>
      </w:r>
      <w:r>
        <w:t xml:space="preserve"> </w:t>
      </w:r>
      <w:r>
        <w:t xml:space="preserve">Abstract Concept Learning</w:t>
      </w:r>
      <w:r>
        <w:t xml:space="preserve">.</w:t>
      </w:r>
      <w:r>
        <w:t xml:space="preserve"> </w:t>
      </w:r>
      <w:r>
        <w:rPr>
          <w:iCs/>
          <w:i/>
        </w:rPr>
        <w:t xml:space="preserve">Cognition and Instruction</w:t>
      </w:r>
      <w:r>
        <w:t xml:space="preserve">,</w:t>
      </w:r>
      <w:r>
        <w:t xml:space="preserve"> </w:t>
      </w:r>
      <w:r>
        <w:rPr>
          <w:iCs/>
          <w:i/>
        </w:rPr>
        <w:t xml:space="preserve">33</w:t>
      </w:r>
      <w:r>
        <w:t xml:space="preserve">(3), 226–256.</w:t>
      </w:r>
      <w:r>
        <w:t xml:space="preserve"> </w:t>
      </w:r>
      <w:hyperlink r:id="rId216">
        <w:r>
          <w:rPr>
            <w:rStyle w:val="Hyperlink"/>
          </w:rPr>
          <w:t xml:space="preserve">https://doi.org/10.1080/07370008.2015.1067215</w:t>
        </w:r>
      </w:hyperlink>
    </w:p>
    <w:bookmarkEnd w:id="217"/>
    <w:bookmarkStart w:id="219" w:name="ref-braunMotorTaskVariation2009"/>
    <w:p>
      <w:pPr>
        <w:pStyle w:val="Bibliography"/>
      </w:pPr>
      <w:r>
        <w:t xml:space="preserve">Braun, D. A., Aertsen, A., Wolpert, D. M., &amp; Mehring, C. (2009). Motor</w:t>
      </w:r>
      <w:r>
        <w:t xml:space="preserve"> </w:t>
      </w:r>
      <w:r>
        <w:t xml:space="preserve">Task Variation Induces Structural Learning</w:t>
      </w:r>
      <w:r>
        <w:t xml:space="preserve">.</w:t>
      </w:r>
      <w:r>
        <w:t xml:space="preserve"> </w:t>
      </w:r>
      <w:r>
        <w:rPr>
          <w:iCs/>
          <w:i/>
        </w:rPr>
        <w:t xml:space="preserve">Current Biology</w:t>
      </w:r>
      <w:r>
        <w:t xml:space="preserve">,</w:t>
      </w:r>
      <w:r>
        <w:t xml:space="preserve"> </w:t>
      </w:r>
      <w:r>
        <w:rPr>
          <w:iCs/>
          <w:i/>
        </w:rPr>
        <w:t xml:space="preserve">19</w:t>
      </w:r>
      <w:r>
        <w:t xml:space="preserve">(4), 352–357.</w:t>
      </w:r>
      <w:r>
        <w:t xml:space="preserve"> </w:t>
      </w:r>
      <w:hyperlink r:id="rId218">
        <w:r>
          <w:rPr>
            <w:rStyle w:val="Hyperlink"/>
          </w:rPr>
          <w:t xml:space="preserve">https://doi.org/10.1016/j.cub.2009.01.036</w:t>
        </w:r>
      </w:hyperlink>
    </w:p>
    <w:bookmarkEnd w:id="219"/>
    <w:bookmarkStart w:id="221" w:name="ref-brehmerHypothesesRelationsScaled1974"/>
    <w:p>
      <w:pPr>
        <w:pStyle w:val="Bibliography"/>
      </w:pPr>
      <w:r>
        <w:t xml:space="preserve">Brehmer, B. (1974). Hypotheses about relations between scaled variables in the learning of probabilistic inference tasks.</w:t>
      </w:r>
      <w:r>
        <w:t xml:space="preserve"> </w:t>
      </w:r>
      <w:r>
        <w:rPr>
          <w:iCs/>
          <w:i/>
        </w:rPr>
        <w:t xml:space="preserve">Organizational Behavior and Human Performance</w:t>
      </w:r>
      <w:r>
        <w:t xml:space="preserve">,</w:t>
      </w:r>
      <w:r>
        <w:t xml:space="preserve"> </w:t>
      </w:r>
      <w:r>
        <w:rPr>
          <w:iCs/>
          <w:i/>
        </w:rPr>
        <w:t xml:space="preserve">11</w:t>
      </w:r>
      <w:r>
        <w:t xml:space="preserve">(1), 1–27.</w:t>
      </w:r>
      <w:r>
        <w:t xml:space="preserve"> </w:t>
      </w:r>
      <w:hyperlink r:id="rId220">
        <w:r>
          <w:rPr>
            <w:rStyle w:val="Hyperlink"/>
          </w:rPr>
          <w:t xml:space="preserve">https://doi.org/10.1016/0030-5073(74)90002-6</w:t>
        </w:r>
      </w:hyperlink>
    </w:p>
    <w:bookmarkEnd w:id="221"/>
    <w:bookmarkStart w:id="223" w:name="ref-briscoeConceptualComplexityBias2011"/>
    <w:p>
      <w:pPr>
        <w:pStyle w:val="Bibliography"/>
      </w:pPr>
      <w:r>
        <w:t xml:space="preserve">Briscoe, E., &amp; Feldman, J. (2011). Conceptual complexity and the bias/variance tradeoff.</w:t>
      </w:r>
      <w:r>
        <w:t xml:space="preserve"> </w:t>
      </w:r>
      <w:r>
        <w:rPr>
          <w:iCs/>
          <w:i/>
        </w:rPr>
        <w:t xml:space="preserve">Cognition</w:t>
      </w:r>
      <w:r>
        <w:t xml:space="preserve">,</w:t>
      </w:r>
      <w:r>
        <w:t xml:space="preserve"> </w:t>
      </w:r>
      <w:r>
        <w:rPr>
          <w:iCs/>
          <w:i/>
        </w:rPr>
        <w:t xml:space="preserve">118</w:t>
      </w:r>
      <w:r>
        <w:t xml:space="preserve">(1), 2–16.</w:t>
      </w:r>
      <w:r>
        <w:t xml:space="preserve"> </w:t>
      </w:r>
      <w:hyperlink r:id="rId222">
        <w:r>
          <w:rPr>
            <w:rStyle w:val="Hyperlink"/>
          </w:rPr>
          <w:t xml:space="preserve">https://doi.org/10.1016/j.cognition.2010.10.004</w:t>
        </w:r>
      </w:hyperlink>
    </w:p>
    <w:bookmarkEnd w:id="223"/>
    <w:bookmarkStart w:id="225"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w:t>
      </w:r>
      <w:r>
        <w:t xml:space="preserve"> </w:t>
      </w:r>
      <w:r>
        <w:rPr>
          <w:iCs/>
          <w:i/>
        </w:rPr>
        <w:t xml:space="preserve">80</w:t>
      </w:r>
      <w:r>
        <w:t xml:space="preserve">, 1–28.</w:t>
      </w:r>
      <w:r>
        <w:t xml:space="preserve"> </w:t>
      </w:r>
      <w:hyperlink r:id="rId224">
        <w:r>
          <w:rPr>
            <w:rStyle w:val="Hyperlink"/>
          </w:rPr>
          <w:t xml:space="preserve">https://doi.org/10.18637/jss.v080.i01</w:t>
        </w:r>
      </w:hyperlink>
    </w:p>
    <w:bookmarkEnd w:id="225"/>
    <w:bookmarkStart w:id="227" w:name="Xb2b0daf1e6781bc060b3e141b44cb8a1f070890"/>
    <w:p>
      <w:pPr>
        <w:pStyle w:val="Bibliography"/>
      </w:pPr>
      <w:r>
        <w:t xml:space="preserve">Carroll, J. D. (1963). Functional</w:t>
      </w:r>
      <w:r>
        <w:t xml:space="preserve"> </w:t>
      </w:r>
      <w:r>
        <w:t xml:space="preserve">Learning</w:t>
      </w:r>
      <w:r>
        <w:t xml:space="preserve">:</w:t>
      </w:r>
      <w:r>
        <w:t xml:space="preserve"> </w:t>
      </w:r>
      <w:r>
        <w:t xml:space="preserve">The Learning</w:t>
      </w:r>
      <w:r>
        <w:t xml:space="preserve"> </w:t>
      </w:r>
      <w:r>
        <w:t xml:space="preserve">of</w:t>
      </w:r>
      <w:r>
        <w:t xml:space="preserve"> </w:t>
      </w:r>
      <w:r>
        <w:t xml:space="preserve">Continuous Functional Mappings Relating Stimulus</w:t>
      </w:r>
      <w:r>
        <w:t xml:space="preserve"> </w:t>
      </w:r>
      <w:r>
        <w:t xml:space="preserve">and</w:t>
      </w:r>
      <w:r>
        <w:t xml:space="preserve"> </w:t>
      </w:r>
      <w:r>
        <w:t xml:space="preserve">Response Continua</w:t>
      </w:r>
      <w:r>
        <w:t xml:space="preserve">.</w:t>
      </w:r>
      <w:r>
        <w:t xml:space="preserve"> </w:t>
      </w:r>
      <w:r>
        <w:rPr>
          <w:iCs/>
          <w:i/>
        </w:rPr>
        <w:t xml:space="preserve">ETS Research Bulletin Series</w:t>
      </w:r>
      <w:r>
        <w:t xml:space="preserve">,</w:t>
      </w:r>
      <w:r>
        <w:t xml:space="preserve"> </w:t>
      </w:r>
      <w:r>
        <w:rPr>
          <w:iCs/>
          <w:i/>
        </w:rPr>
        <w:t xml:space="preserve">1963</w:t>
      </w:r>
      <w:r>
        <w:t xml:space="preserve">(2), i–144.</w:t>
      </w:r>
      <w:r>
        <w:t xml:space="preserve"> </w:t>
      </w:r>
      <w:hyperlink r:id="rId226">
        <w:r>
          <w:rPr>
            <w:rStyle w:val="Hyperlink"/>
          </w:rPr>
          <w:t xml:space="preserve">https://doi.org/10.1002/j.2333-8504.1963.tb00958.x</w:t>
        </w:r>
      </w:hyperlink>
    </w:p>
    <w:bookmarkEnd w:id="227"/>
    <w:bookmarkStart w:id="229" w:name="ref-carvalhoPuttingCategoryLearning2014"/>
    <w:p>
      <w:pPr>
        <w:pStyle w:val="Bibliography"/>
      </w:pPr>
      <w:r>
        <w:t xml:space="preserve">Carvalho, P. F., &amp; Goldstone, R. L. (2014). Putting category learning in order:</w:t>
      </w:r>
      <w:r>
        <w:t xml:space="preserve"> </w:t>
      </w:r>
      <w:r>
        <w:t xml:space="preserve">Category</w:t>
      </w:r>
      <w:r>
        <w:t xml:space="preserve"> </w:t>
      </w:r>
      <w:r>
        <w:t xml:space="preserve">structure and temporal arrangement affect the benefit of interleaved over blocked study.</w:t>
      </w:r>
      <w:r>
        <w:t xml:space="preserve"> </w:t>
      </w:r>
      <w:r>
        <w:rPr>
          <w:iCs/>
          <w:i/>
        </w:rPr>
        <w:t xml:space="preserve">Memory &amp; Cognition</w:t>
      </w:r>
      <w:r>
        <w:t xml:space="preserve">,</w:t>
      </w:r>
      <w:r>
        <w:t xml:space="preserve"> </w:t>
      </w:r>
      <w:r>
        <w:rPr>
          <w:iCs/>
          <w:i/>
        </w:rPr>
        <w:t xml:space="preserve">42</w:t>
      </w:r>
      <w:r>
        <w:t xml:space="preserve">(3), 481–495.</w:t>
      </w:r>
      <w:r>
        <w:t xml:space="preserve"> </w:t>
      </w:r>
      <w:hyperlink r:id="rId228">
        <w:r>
          <w:rPr>
            <w:rStyle w:val="Hyperlink"/>
          </w:rPr>
          <w:t xml:space="preserve">https://doi.org/10.3758/s13421-013-0371-0</w:t>
        </w:r>
      </w:hyperlink>
    </w:p>
    <w:bookmarkEnd w:id="229"/>
    <w:bookmarkStart w:id="231" w:name="ref-carvalhoSequenceStudyChanges2017"/>
    <w:p>
      <w:pPr>
        <w:pStyle w:val="Bibliography"/>
      </w:pPr>
      <w:r>
        <w:t xml:space="preserve">Carvalho, P. F., &amp; Goldstone, R. L. (2017). The sequence of study changes what information is attended to, encoded, and remembered during category learning.</w:t>
      </w:r>
      <w:r>
        <w:t xml:space="preserve"> </w:t>
      </w:r>
      <w:r>
        <w:rPr>
          <w:iCs/>
          <w:i/>
        </w:rPr>
        <w:t xml:space="preserve">Journal of Experimental Psychology: Learning, Memory, and Cognition</w:t>
      </w:r>
      <w:r>
        <w:t xml:space="preserve">,</w:t>
      </w:r>
      <w:r>
        <w:t xml:space="preserve"> </w:t>
      </w:r>
      <w:r>
        <w:rPr>
          <w:iCs/>
          <w:i/>
        </w:rPr>
        <w:t xml:space="preserve">43</w:t>
      </w:r>
      <w:r>
        <w:t xml:space="preserve">(11), 1699–1719.</w:t>
      </w:r>
      <w:r>
        <w:t xml:space="preserve"> </w:t>
      </w:r>
      <w:hyperlink r:id="rId230">
        <w:r>
          <w:rPr>
            <w:rStyle w:val="Hyperlink"/>
          </w:rPr>
          <w:t xml:space="preserve">https://doi.org/10.1037/xlm0000406</w:t>
        </w:r>
      </w:hyperlink>
    </w:p>
    <w:bookmarkEnd w:id="231"/>
    <w:bookmarkStart w:id="233" w:name="Xb08d1d2c70db9470b6217bc6c358d6ea58e7916"/>
    <w:p>
      <w:pPr>
        <w:pStyle w:val="Bibliography"/>
      </w:pPr>
      <w:r>
        <w:t xml:space="preserve">Catalano, J. F., &amp; Kleiner, B. M. (1984). Distant</w:t>
      </w:r>
      <w:r>
        <w:t xml:space="preserve"> </w:t>
      </w:r>
      <w:r>
        <w:t xml:space="preserve">Transfer</w:t>
      </w:r>
      <w:r>
        <w:t xml:space="preserve"> </w:t>
      </w:r>
      <w:r>
        <w:t xml:space="preserve">in</w:t>
      </w:r>
      <w:r>
        <w:t xml:space="preserve"> </w:t>
      </w:r>
      <w:r>
        <w:t xml:space="preserve">Coincident Timing</w:t>
      </w:r>
      <w:r>
        <w:t xml:space="preserve"> </w:t>
      </w:r>
      <w:r>
        <w:t xml:space="preserve">as a</w:t>
      </w:r>
      <w:r>
        <w:t xml:space="preserve"> </w:t>
      </w:r>
      <w:r>
        <w:t xml:space="preserve">Function</w:t>
      </w:r>
      <w:r>
        <w:t xml:space="preserve"> </w:t>
      </w:r>
      <w:r>
        <w:t xml:space="preserve">of</w:t>
      </w:r>
      <w:r>
        <w:t xml:space="preserve"> </w:t>
      </w:r>
      <w:r>
        <w:t xml:space="preserve">Variability</w:t>
      </w:r>
      <w:r>
        <w:t xml:space="preserve"> </w:t>
      </w:r>
      <w:r>
        <w:t xml:space="preserve">of</w:t>
      </w:r>
      <w:r>
        <w:t xml:space="preserve"> </w:t>
      </w:r>
      <w:r>
        <w:t xml:space="preserve">Practice</w:t>
      </w:r>
      <w:r>
        <w:t xml:space="preserve">.</w:t>
      </w:r>
      <w:r>
        <w:t xml:space="preserve"> </w:t>
      </w:r>
      <w:r>
        <w:rPr>
          <w:iCs/>
          <w:i/>
        </w:rPr>
        <w:t xml:space="preserve">Perceptual and Motor Skills</w:t>
      </w:r>
      <w:r>
        <w:t xml:space="preserve">,</w:t>
      </w:r>
      <w:r>
        <w:t xml:space="preserve"> </w:t>
      </w:r>
      <w:r>
        <w:rPr>
          <w:iCs/>
          <w:i/>
        </w:rPr>
        <w:t xml:space="preserve">58</w:t>
      </w:r>
      <w:r>
        <w:t xml:space="preserve">(3), 851–856.</w:t>
      </w:r>
      <w:r>
        <w:t xml:space="preserve"> </w:t>
      </w:r>
      <w:hyperlink r:id="rId232">
        <w:r>
          <w:rPr>
            <w:rStyle w:val="Hyperlink"/>
          </w:rPr>
          <w:t xml:space="preserve">https://doi.org/10.2466/pms.1984.58.3.851</w:t>
        </w:r>
      </w:hyperlink>
    </w:p>
    <w:bookmarkEnd w:id="233"/>
    <w:bookmarkStart w:id="235" w:name="ref-censorCommonMechanismsHuman2012"/>
    <w:p>
      <w:pPr>
        <w:pStyle w:val="Bibliography"/>
      </w:pPr>
      <w:r>
        <w:t xml:space="preserve">Censor, N., Sagi, D., &amp; Cohen, L. G. (2012). Common mechanisms of human perceptual and motor learning.</w:t>
      </w:r>
      <w:r>
        <w:t xml:space="preserve"> </w:t>
      </w:r>
      <w:r>
        <w:rPr>
          <w:iCs/>
          <w:i/>
        </w:rPr>
        <w:t xml:space="preserve">Nature Reviews Neuroscience</w:t>
      </w:r>
      <w:r>
        <w:t xml:space="preserve">,</w:t>
      </w:r>
      <w:r>
        <w:t xml:space="preserve"> </w:t>
      </w:r>
      <w:r>
        <w:rPr>
          <w:iCs/>
          <w:i/>
        </w:rPr>
        <w:t xml:space="preserve">13</w:t>
      </w:r>
      <w:r>
        <w:t xml:space="preserve">(9), 658–664.</w:t>
      </w:r>
      <w:r>
        <w:t xml:space="preserve"> </w:t>
      </w:r>
      <w:hyperlink r:id="rId234">
        <w:r>
          <w:rPr>
            <w:rStyle w:val="Hyperlink"/>
          </w:rPr>
          <w:t xml:space="preserve">https://doi.org/10.1038/nrn3315</w:t>
        </w:r>
      </w:hyperlink>
    </w:p>
    <w:bookmarkEnd w:id="235"/>
    <w:bookmarkStart w:id="237" w:name="ref-chamberlinNoteSchemaExemplar1992"/>
    <w:p>
      <w:pPr>
        <w:pStyle w:val="Bibliography"/>
      </w:pPr>
      <w:r>
        <w:t xml:space="preserve">Chamberlin, C. J., &amp; Magill, R. A. (1992a). A</w:t>
      </w:r>
      <w:r>
        <w:t xml:space="preserve"> </w:t>
      </w:r>
      <w:r>
        <w:t xml:space="preserve">Note</w:t>
      </w:r>
      <w:r>
        <w:t xml:space="preserve"> </w:t>
      </w:r>
      <w:r>
        <w:t xml:space="preserve">on</w:t>
      </w:r>
      <w:r>
        <w:t xml:space="preserve"> </w:t>
      </w:r>
      <w:r>
        <w:t xml:space="preserve">Schema</w:t>
      </w:r>
      <w:r>
        <w:t xml:space="preserve"> </w:t>
      </w:r>
      <w:r>
        <w:t xml:space="preserve">and</w:t>
      </w:r>
      <w:r>
        <w:t xml:space="preserve"> </w:t>
      </w:r>
      <w:r>
        <w:t xml:space="preserve">Exemplar Approaches</w:t>
      </w:r>
      <w:r>
        <w:t xml:space="preserve"> </w:t>
      </w:r>
      <w:r>
        <w:t xml:space="preserve">to</w:t>
      </w:r>
      <w:r>
        <w:t xml:space="preserve"> </w:t>
      </w:r>
      <w:r>
        <w:t xml:space="preserve">Motor Skill Representation</w:t>
      </w:r>
      <w:r>
        <w:t xml:space="preserve"> </w:t>
      </w:r>
      <w:r>
        <w:t xml:space="preserve">in</w:t>
      </w:r>
      <w:r>
        <w:t xml:space="preserve"> </w:t>
      </w:r>
      <w:r>
        <w:t xml:space="preserve">Memory</w:t>
      </w:r>
      <w:r>
        <w:t xml:space="preserve">.</w:t>
      </w:r>
      <w:r>
        <w:t xml:space="preserve"> </w:t>
      </w:r>
      <w:r>
        <w:rPr>
          <w:iCs/>
          <w:i/>
        </w:rPr>
        <w:t xml:space="preserve">Journal of Motor Behavior</w:t>
      </w:r>
      <w:r>
        <w:t xml:space="preserve">,</w:t>
      </w:r>
      <w:r>
        <w:t xml:space="preserve"> </w:t>
      </w:r>
      <w:r>
        <w:rPr>
          <w:iCs/>
          <w:i/>
        </w:rPr>
        <w:t xml:space="preserve">24</w:t>
      </w:r>
      <w:r>
        <w:t xml:space="preserve">(2), 221–224.</w:t>
      </w:r>
      <w:r>
        <w:t xml:space="preserve"> </w:t>
      </w:r>
      <w:hyperlink r:id="rId236">
        <w:r>
          <w:rPr>
            <w:rStyle w:val="Hyperlink"/>
          </w:rPr>
          <w:t xml:space="preserve">https://doi.org/10.1080/00222895.1992.9941617</w:t>
        </w:r>
      </w:hyperlink>
    </w:p>
    <w:bookmarkEnd w:id="237"/>
    <w:bookmarkStart w:id="239" w:name="Xf9eccc804582a986ca8ab5910d68eb67ab46735"/>
    <w:p>
      <w:pPr>
        <w:pStyle w:val="Bibliography"/>
      </w:pPr>
      <w:r>
        <w:t xml:space="preserve">Chamberlin, C. J., &amp; Magill, R. A. (1992b). The</w:t>
      </w:r>
      <w:r>
        <w:t xml:space="preserve"> </w:t>
      </w:r>
      <w:r>
        <w:t xml:space="preserve">Memory Representation</w:t>
      </w:r>
      <w:r>
        <w:t xml:space="preserve"> </w:t>
      </w:r>
      <w:r>
        <w:t xml:space="preserve">of</w:t>
      </w:r>
      <w:r>
        <w:t xml:space="preserve"> </w:t>
      </w:r>
      <w:r>
        <w:t xml:space="preserve">Motor Skills</w:t>
      </w:r>
      <w:r>
        <w:t xml:space="preserve">:</w:t>
      </w:r>
      <w:r>
        <w:t xml:space="preserve"> </w:t>
      </w:r>
      <w:r>
        <w:t xml:space="preserve">A Test</w:t>
      </w:r>
      <w:r>
        <w:t xml:space="preserve"> </w:t>
      </w:r>
      <w:r>
        <w:t xml:space="preserve">of</w:t>
      </w:r>
      <w:r>
        <w:t xml:space="preserve"> </w:t>
      </w:r>
      <w:r>
        <w:t xml:space="preserve">Schema Theory</w:t>
      </w:r>
      <w:r>
        <w:t xml:space="preserve">.</w:t>
      </w:r>
      <w:r>
        <w:t xml:space="preserve"> </w:t>
      </w:r>
      <w:r>
        <w:rPr>
          <w:iCs/>
          <w:i/>
        </w:rPr>
        <w:t xml:space="preserve">Journal of Motor Behavior</w:t>
      </w:r>
      <w:r>
        <w:t xml:space="preserve">,</w:t>
      </w:r>
      <w:r>
        <w:t xml:space="preserve"> </w:t>
      </w:r>
      <w:r>
        <w:rPr>
          <w:iCs/>
          <w:i/>
        </w:rPr>
        <w:t xml:space="preserve">24</w:t>
      </w:r>
      <w:r>
        <w:t xml:space="preserve">(4), 309–319.</w:t>
      </w:r>
      <w:r>
        <w:t xml:space="preserve"> </w:t>
      </w:r>
      <w:hyperlink r:id="rId238">
        <w:r>
          <w:rPr>
            <w:rStyle w:val="Hyperlink"/>
          </w:rPr>
          <w:t xml:space="preserve">https://doi.org/10.1080/00222895.1992.9941627</w:t>
        </w:r>
      </w:hyperlink>
    </w:p>
    <w:bookmarkEnd w:id="239"/>
    <w:bookmarkStart w:id="241" w:name="ref-chuaPracticeVariabilityPromotes2019"/>
    <w:p>
      <w:pPr>
        <w:pStyle w:val="Bibliography"/>
      </w:pPr>
      <w:r>
        <w:t xml:space="preserve">Chua, L.-K., Dimapilis, M. K., Iwatsuki, T., Abdollahipour, R., Lewthwaite, R., &amp; Wulf, G. (2019). Practice variability promotes an external focus of attention and enhances motor skill learning.</w:t>
      </w:r>
      <w:r>
        <w:t xml:space="preserve"> </w:t>
      </w:r>
      <w:r>
        <w:rPr>
          <w:iCs/>
          <w:i/>
        </w:rPr>
        <w:t xml:space="preserve">Human Movement Science</w:t>
      </w:r>
      <w:r>
        <w:t xml:space="preserve">,</w:t>
      </w:r>
      <w:r>
        <w:t xml:space="preserve"> </w:t>
      </w:r>
      <w:r>
        <w:rPr>
          <w:iCs/>
          <w:i/>
        </w:rPr>
        <w:t xml:space="preserve">64</w:t>
      </w:r>
      <w:r>
        <w:t xml:space="preserve">, 307–319.</w:t>
      </w:r>
      <w:r>
        <w:t xml:space="preserve"> </w:t>
      </w:r>
      <w:hyperlink r:id="rId240">
        <w:r>
          <w:rPr>
            <w:rStyle w:val="Hyperlink"/>
          </w:rPr>
          <w:t xml:space="preserve">https://doi.org/10.1016/j.humov.2019.02.015</w:t>
        </w:r>
      </w:hyperlink>
    </w:p>
    <w:bookmarkEnd w:id="241"/>
    <w:bookmarkStart w:id="243" w:name="ref-ciccioneCanHumansPerform2021a"/>
    <w:p>
      <w:pPr>
        <w:pStyle w:val="Bibliography"/>
      </w:pPr>
      <w:r>
        <w:t xml:space="preserve">Ciccione, L., &amp; Dehaene, S. (2021). Can humans perform mental regression on a graph?</w:t>
      </w:r>
      <w:r>
        <w:t xml:space="preserve"> </w:t>
      </w:r>
      <w:r>
        <w:t xml:space="preserve">Accuracy</w:t>
      </w:r>
      <w:r>
        <w:t xml:space="preserve"> </w:t>
      </w:r>
      <w:r>
        <w:t xml:space="preserve">and bias in the perception of scatterplots.</w:t>
      </w:r>
      <w:r>
        <w:t xml:space="preserve"> </w:t>
      </w:r>
      <w:r>
        <w:rPr>
          <w:iCs/>
          <w:i/>
        </w:rPr>
        <w:t xml:space="preserve">Cognitive Psychology</w:t>
      </w:r>
      <w:r>
        <w:t xml:space="preserve">,</w:t>
      </w:r>
      <w:r>
        <w:t xml:space="preserve"> </w:t>
      </w:r>
      <w:r>
        <w:rPr>
          <w:iCs/>
          <w:i/>
        </w:rPr>
        <w:t xml:space="preserve">128</w:t>
      </w:r>
      <w:r>
        <w:t xml:space="preserve">, 101406.</w:t>
      </w:r>
      <w:r>
        <w:t xml:space="preserve"> </w:t>
      </w:r>
      <w:hyperlink r:id="rId242">
        <w:r>
          <w:rPr>
            <w:rStyle w:val="Hyperlink"/>
          </w:rPr>
          <w:t xml:space="preserve">https://doi.org/10.1016/j.cogpsych.2021.101406</w:t>
        </w:r>
      </w:hyperlink>
    </w:p>
    <w:bookmarkEnd w:id="243"/>
    <w:bookmarkStart w:id="245" w:name="Xb98d66b52f42a4fa5578a747eac67bd27c8590c"/>
    <w:p>
      <w:pPr>
        <w:pStyle w:val="Bibliography"/>
      </w:pPr>
      <w:r>
        <w:t xml:space="preserve">Cochrane, A. (2020).</w:t>
      </w:r>
      <w:r>
        <w:t xml:space="preserve"> </w:t>
      </w:r>
      <w:r>
        <w:t xml:space="preserve">TEfits</w:t>
      </w:r>
      <w:r>
        <w:t xml:space="preserve">:</w:t>
      </w:r>
      <w:r>
        <w:t xml:space="preserve"> </w:t>
      </w:r>
      <w:r>
        <w:t xml:space="preserve">Nonlinear</w:t>
      </w:r>
      <w:r>
        <w:t xml:space="preserve"> </w:t>
      </w:r>
      <w:r>
        <w:t xml:space="preserve">regression for time-evolving indices.</w:t>
      </w:r>
      <w:r>
        <w:t xml:space="preserve"> </w:t>
      </w:r>
      <w:r>
        <w:rPr>
          <w:iCs/>
          <w:i/>
        </w:rPr>
        <w:t xml:space="preserve">Journal of Open Source Software</w:t>
      </w:r>
      <w:r>
        <w:t xml:space="preserve">,</w:t>
      </w:r>
      <w:r>
        <w:t xml:space="preserve"> </w:t>
      </w:r>
      <w:r>
        <w:rPr>
          <w:iCs/>
          <w:i/>
        </w:rPr>
        <w:t xml:space="preserve">5</w:t>
      </w:r>
      <w:r>
        <w:t xml:space="preserve">(52), 2535.</w:t>
      </w:r>
      <w:r>
        <w:t xml:space="preserve"> </w:t>
      </w:r>
      <w:hyperlink r:id="rId244">
        <w:r>
          <w:rPr>
            <w:rStyle w:val="Hyperlink"/>
          </w:rPr>
          <w:t xml:space="preserve">https://doi.org/10.21105/joss.02535</w:t>
        </w:r>
      </w:hyperlink>
    </w:p>
    <w:bookmarkEnd w:id="245"/>
    <w:bookmarkStart w:id="247" w:name="ref-cohenCategoryVariabilityExemplar2001"/>
    <w:p>
      <w:pPr>
        <w:pStyle w:val="Bibliography"/>
      </w:pPr>
      <w:r>
        <w:t xml:space="preserve">Cohen, A. L., Nosofsky, R. M., &amp; Zaki, S. R. (2001). Category variability, exemplar similarity, and perceptual classification.</w:t>
      </w:r>
      <w:r>
        <w:t xml:space="preserve"> </w:t>
      </w:r>
      <w:r>
        <w:rPr>
          <w:iCs/>
          <w:i/>
        </w:rPr>
        <w:t xml:space="preserve">Memory &amp; Cognition</w:t>
      </w:r>
      <w:r>
        <w:t xml:space="preserve">,</w:t>
      </w:r>
      <w:r>
        <w:t xml:space="preserve"> </w:t>
      </w:r>
      <w:r>
        <w:rPr>
          <w:iCs/>
          <w:i/>
        </w:rPr>
        <w:t xml:space="preserve">29</w:t>
      </w:r>
      <w:r>
        <w:t xml:space="preserve">(8), 1165–1175.</w:t>
      </w:r>
      <w:r>
        <w:t xml:space="preserve"> </w:t>
      </w:r>
      <w:hyperlink r:id="rId246">
        <w:r>
          <w:rPr>
            <w:rStyle w:val="Hyperlink"/>
          </w:rPr>
          <w:t xml:space="preserve">https://doi.org/10.3758/BF03206386</w:t>
        </w:r>
      </w:hyperlink>
    </w:p>
    <w:bookmarkEnd w:id="247"/>
    <w:bookmarkStart w:id="249" w:name="ref-cohenWhereGraspsAre2004"/>
    <w:p>
      <w:pPr>
        <w:pStyle w:val="Bibliography"/>
      </w:pPr>
      <w:r>
        <w:t xml:space="preserve">Cohen, R. G., &amp; Rosenbaum, D. A. (2004). Where grasps are made reveals how grasps are planned: Generation and recall of motor plans.</w:t>
      </w:r>
      <w:r>
        <w:t xml:space="preserve"> </w:t>
      </w:r>
      <w:r>
        <w:rPr>
          <w:iCs/>
          <w:i/>
        </w:rPr>
        <w:t xml:space="preserve">Experimental Brain Research</w:t>
      </w:r>
      <w:r>
        <w:t xml:space="preserve">,</w:t>
      </w:r>
      <w:r>
        <w:t xml:space="preserve"> </w:t>
      </w:r>
      <w:r>
        <w:rPr>
          <w:iCs/>
          <w:i/>
        </w:rPr>
        <w:t xml:space="preserve">157</w:t>
      </w:r>
      <w:r>
        <w:t xml:space="preserve">(4).</w:t>
      </w:r>
      <w:r>
        <w:t xml:space="preserve"> </w:t>
      </w:r>
      <w:hyperlink r:id="rId248">
        <w:r>
          <w:rPr>
            <w:rStyle w:val="Hyperlink"/>
          </w:rPr>
          <w:t xml:space="preserve">https://doi.org/10.1007/s00221-004-1862-9</w:t>
        </w:r>
      </w:hyperlink>
    </w:p>
    <w:bookmarkEnd w:id="249"/>
    <w:bookmarkStart w:id="251" w:name="Xe094a604fd6edcac7c52c0c0714bd8ec909eefe"/>
    <w:p>
      <w:pPr>
        <w:pStyle w:val="Bibliography"/>
      </w:pPr>
      <w:r>
        <w:t xml:space="preserve">Courrieu, P. (2012). Quick approximation of bivariate functions.</w:t>
      </w:r>
      <w:r>
        <w:t xml:space="preserve"> </w:t>
      </w:r>
      <w:r>
        <w:rPr>
          <w:iCs/>
          <w:i/>
        </w:rPr>
        <w:t xml:space="preserve">British Journal of Mathematical and Statistical Psychology</w:t>
      </w:r>
      <w:r>
        <w:t xml:space="preserve">,</w:t>
      </w:r>
      <w:r>
        <w:t xml:space="preserve"> </w:t>
      </w:r>
      <w:r>
        <w:rPr>
          <w:iCs/>
          <w:i/>
        </w:rPr>
        <w:t xml:space="preserve">65</w:t>
      </w:r>
      <w:r>
        <w:t xml:space="preserve">(1), 89–121.</w:t>
      </w:r>
      <w:r>
        <w:t xml:space="preserve"> </w:t>
      </w:r>
      <w:hyperlink r:id="rId250">
        <w:r>
          <w:rPr>
            <w:rStyle w:val="Hyperlink"/>
          </w:rPr>
          <w:t xml:space="preserve">https://doi.org/10.1111/j.2044-8317.2011.02016.x</w:t>
        </w:r>
      </w:hyperlink>
    </w:p>
    <w:bookmarkEnd w:id="251"/>
    <w:bookmarkStart w:id="253" w:name="Xc238d332495d5cd1e8e6854b9a008d57c3788f8"/>
    <w:p>
      <w:pPr>
        <w:pStyle w:val="Bibliography"/>
      </w:pPr>
      <w:r>
        <w:t xml:space="preserve">Crump, M. J. C., &amp; Logan, G. D. (2010). Episodic contributions to sequential control:</w:t>
      </w:r>
      <w:r>
        <w:t xml:space="preserve"> </w:t>
      </w:r>
      <w:r>
        <w:t xml:space="preserve">Learning</w:t>
      </w:r>
      <w:r>
        <w:t xml:space="preserve"> </w:t>
      </w:r>
      <w:r>
        <w:t xml:space="preserve">from a typist’s touch.</w:t>
      </w:r>
      <w:r>
        <w:t xml:space="preserve"> </w:t>
      </w:r>
      <w:r>
        <w:rPr>
          <w:iCs/>
          <w:i/>
        </w:rPr>
        <w:t xml:space="preserve">Journal of Experimental Psychology: Human Perception and Performance</w:t>
      </w:r>
      <w:r>
        <w:t xml:space="preserve">,</w:t>
      </w:r>
      <w:r>
        <w:t xml:space="preserve"> </w:t>
      </w:r>
      <w:r>
        <w:rPr>
          <w:iCs/>
          <w:i/>
        </w:rPr>
        <w:t xml:space="preserve">36</w:t>
      </w:r>
      <w:r>
        <w:t xml:space="preserve">(3), 662–672.</w:t>
      </w:r>
      <w:r>
        <w:t xml:space="preserve"> </w:t>
      </w:r>
      <w:hyperlink r:id="rId252">
        <w:r>
          <w:rPr>
            <w:rStyle w:val="Hyperlink"/>
          </w:rPr>
          <w:t xml:space="preserve">https://doi.org/10.1037/a0018390</w:t>
        </w:r>
      </w:hyperlink>
    </w:p>
    <w:bookmarkEnd w:id="253"/>
    <w:bookmarkStart w:id="255" w:name="X8cd316671c2239200e1a5afe6d9559d59ba5123"/>
    <w:p>
      <w:pPr>
        <w:pStyle w:val="Bibliography"/>
      </w:pPr>
      <w:r>
        <w:t xml:space="preserve">Czyż, S. H. (2021). Variability of</w:t>
      </w:r>
      <w:r>
        <w:t xml:space="preserve"> </w:t>
      </w:r>
      <w:r>
        <w:t xml:space="preserve">Practice</w:t>
      </w:r>
      <w:r>
        <w:t xml:space="preserve">,</w:t>
      </w:r>
      <w:r>
        <w:t xml:space="preserve"> </w:t>
      </w:r>
      <w:r>
        <w:t xml:space="preserve">Information Processing</w:t>
      </w:r>
      <w:r>
        <w:t xml:space="preserve">, and</w:t>
      </w:r>
      <w:r>
        <w:t xml:space="preserve"> </w:t>
      </w:r>
      <w:r>
        <w:t xml:space="preserve">Decision Making</w:t>
      </w:r>
      <w:r>
        <w:t xml:space="preserve">?</w:t>
      </w:r>
      <w:r>
        <w:t xml:space="preserve"> </w:t>
      </w:r>
      <w:r>
        <w:rPr>
          <w:iCs/>
          <w:i/>
        </w:rPr>
        <w:t xml:space="preserve">Frontiers in Psychology</w:t>
      </w:r>
      <w:r>
        <w:t xml:space="preserve">,</w:t>
      </w:r>
      <w:r>
        <w:t xml:space="preserve"> </w:t>
      </w:r>
      <w:r>
        <w:rPr>
          <w:iCs/>
          <w:i/>
        </w:rPr>
        <w:t xml:space="preserve">12</w:t>
      </w:r>
      <w:r>
        <w:t xml:space="preserve">.</w:t>
      </w:r>
      <w:r>
        <w:t xml:space="preserve"> </w:t>
      </w:r>
      <w:hyperlink r:id="rId254">
        <w:r>
          <w:rPr>
            <w:rStyle w:val="Hyperlink"/>
          </w:rPr>
          <w:t xml:space="preserve">https://doi.org/10.3389/fpsyg.2021.639131</w:t>
        </w:r>
      </w:hyperlink>
    </w:p>
    <w:bookmarkEnd w:id="255"/>
    <w:bookmarkStart w:id="257" w:name="X982d247e319d4147684807c41a82baf6eae6932"/>
    <w:p>
      <w:pPr>
        <w:pStyle w:val="Bibliography"/>
      </w:pPr>
      <w:r>
        <w:t xml:space="preserve">Del Rey, P., Wughalter, E. H., &amp; Whitehurst, M. (1982). The</w:t>
      </w:r>
      <w:r>
        <w:t xml:space="preserve"> </w:t>
      </w:r>
      <w:r>
        <w:t xml:space="preserve">Effects</w:t>
      </w:r>
      <w:r>
        <w:t xml:space="preserve"> </w:t>
      </w:r>
      <w:r>
        <w:t xml:space="preserve">of</w:t>
      </w:r>
      <w:r>
        <w:t xml:space="preserve"> </w:t>
      </w:r>
      <w:r>
        <w:t xml:space="preserve">Contextual Interference</w:t>
      </w:r>
      <w:r>
        <w:t xml:space="preserve"> </w:t>
      </w:r>
      <w:r>
        <w:t xml:space="preserve">on</w:t>
      </w:r>
      <w:r>
        <w:t xml:space="preserve"> </w:t>
      </w:r>
      <w:r>
        <w:t xml:space="preserve">Females With Varied Experience</w:t>
      </w:r>
      <w:r>
        <w:t xml:space="preserve"> </w:t>
      </w:r>
      <w:r>
        <w:t xml:space="preserve">in</w:t>
      </w:r>
      <w:r>
        <w:t xml:space="preserve"> </w:t>
      </w:r>
      <w:r>
        <w:t xml:space="preserve">Open Sport Skills</w:t>
      </w:r>
      <w:r>
        <w:t xml:space="preserve">.</w:t>
      </w:r>
      <w:r>
        <w:t xml:space="preserve"> </w:t>
      </w:r>
      <w:r>
        <w:rPr>
          <w:iCs/>
          <w:i/>
        </w:rPr>
        <w:t xml:space="preserve">Research Quarterly for Exercise and Sport</w:t>
      </w:r>
      <w:r>
        <w:t xml:space="preserve">,</w:t>
      </w:r>
      <w:r>
        <w:t xml:space="preserve"> </w:t>
      </w:r>
      <w:r>
        <w:rPr>
          <w:iCs/>
          <w:i/>
        </w:rPr>
        <w:t xml:space="preserve">53</w:t>
      </w:r>
      <w:r>
        <w:t xml:space="preserve">(2), 108–115.</w:t>
      </w:r>
      <w:r>
        <w:t xml:space="preserve"> </w:t>
      </w:r>
      <w:hyperlink r:id="rId256">
        <w:r>
          <w:rPr>
            <w:rStyle w:val="Hyperlink"/>
          </w:rPr>
          <w:t xml:space="preserve">https://doi.org/10.1080/02701367.1982.10605236</w:t>
        </w:r>
      </w:hyperlink>
    </w:p>
    <w:bookmarkEnd w:id="257"/>
    <w:bookmarkStart w:id="259" w:name="ref-deloshExtrapolationSineQua1997"/>
    <w:p>
      <w:pPr>
        <w:pStyle w:val="Bibliography"/>
      </w:pPr>
      <w:r>
        <w:t xml:space="preserve">DeLosh, E. L., McDaniel, M. A., &amp; Busemeyer, J. R. (1997). Extrapolation:</w:t>
      </w:r>
      <w:r>
        <w:t xml:space="preserve"> </w:t>
      </w:r>
      <w:r>
        <w:t xml:space="preserve">The Sine Qua Non</w:t>
      </w:r>
      <w:r>
        <w:t xml:space="preserve"> </w:t>
      </w:r>
      <w:r>
        <w:t xml:space="preserve">for</w:t>
      </w:r>
      <w:r>
        <w:t xml:space="preserve"> </w:t>
      </w:r>
      <w:r>
        <w:t xml:space="preserve">Abstraction</w:t>
      </w:r>
      <w:r>
        <w:t xml:space="preserve"> </w:t>
      </w:r>
      <w:r>
        <w:t xml:space="preserve">in</w:t>
      </w:r>
      <w:r>
        <w:t xml:space="preserve"> </w:t>
      </w:r>
      <w:r>
        <w:t xml:space="preserve">Function Learning</w:t>
      </w:r>
      <w:r>
        <w:t xml:space="preserve">.</w:t>
      </w:r>
      <w:r>
        <w:t xml:space="preserve"> </w:t>
      </w:r>
      <w:r>
        <w:rPr>
          <w:iCs/>
          <w:i/>
        </w:rPr>
        <w:t xml:space="preserve">Journal of Experimental Psychology: Learning, Memory, and Cognition</w:t>
      </w:r>
      <w:r>
        <w:t xml:space="preserve">,</w:t>
      </w:r>
      <w:r>
        <w:t xml:space="preserve"> </w:t>
      </w:r>
      <w:r>
        <w:rPr>
          <w:iCs/>
          <w:i/>
        </w:rPr>
        <w:t xml:space="preserve">23</w:t>
      </w:r>
      <w:r>
        <w:t xml:space="preserve">(4), 19.</w:t>
      </w:r>
      <w:r>
        <w:t xml:space="preserve"> </w:t>
      </w:r>
      <w:hyperlink r:id="rId258">
        <w:r>
          <w:rPr>
            <w:rStyle w:val="Hyperlink"/>
          </w:rPr>
          <w:t xml:space="preserve">https://doi.org/10.1037/0278-7393.23.4.968</w:t>
        </w:r>
      </w:hyperlink>
    </w:p>
    <w:bookmarkEnd w:id="259"/>
    <w:bookmarkStart w:id="260" w:name="ref-dettermanCaseProsecutionTransfer1993"/>
    <w:p>
      <w:pPr>
        <w:pStyle w:val="Bibliography"/>
      </w:pPr>
      <w:r>
        <w:t xml:space="preserve">Detterman, D. K. (1993). The case for the prosecution:</w:t>
      </w:r>
      <w:r>
        <w:t xml:space="preserve"> </w:t>
      </w:r>
      <w:r>
        <w:t xml:space="preserve">Transfer</w:t>
      </w:r>
      <w:r>
        <w:t xml:space="preserve"> </w:t>
      </w:r>
      <w:r>
        <w:t xml:space="preserve">as an epiphenomenon. In</w:t>
      </w:r>
      <w:r>
        <w:t xml:space="preserve"> </w:t>
      </w:r>
      <w:r>
        <w:rPr>
          <w:iCs/>
          <w:i/>
        </w:rPr>
        <w:t xml:space="preserve">Transfer on trial:</w:t>
      </w:r>
      <w:r>
        <w:rPr>
          <w:iCs/>
          <w:i/>
        </w:rPr>
        <w:t xml:space="preserve"> </w:t>
      </w:r>
      <w:r>
        <w:rPr>
          <w:iCs/>
          <w:i/>
        </w:rPr>
        <w:t xml:space="preserve">Intelligence</w:t>
      </w:r>
      <w:r>
        <w:rPr>
          <w:iCs/>
          <w:i/>
        </w:rPr>
        <w:t xml:space="preserve">, cognition, and instruction</w:t>
      </w:r>
      <w:r>
        <w:t xml:space="preserve"> </w:t>
      </w:r>
      <w:r>
        <w:t xml:space="preserve">(pp. 1–24).</w:t>
      </w:r>
      <w:r>
        <w:t xml:space="preserve"> </w:t>
      </w:r>
      <w:r>
        <w:t xml:space="preserve">Ablex Publishing</w:t>
      </w:r>
      <w:r>
        <w:t xml:space="preserve">.</w:t>
      </w:r>
    </w:p>
    <w:bookmarkEnd w:id="260"/>
    <w:bookmarkStart w:id="262" w:name="X69ab5b8cf7754feb74b917c4efbc54356a88e59"/>
    <w:p>
      <w:pPr>
        <w:pStyle w:val="Bibliography"/>
      </w:pPr>
      <w:r>
        <w:t xml:space="preserve">Ennis, D. M., Palen, J. J., &amp; Mullen, K. (1988). A multidimensional stochastic theory of similarity.</w:t>
      </w:r>
      <w:r>
        <w:t xml:space="preserve"> </w:t>
      </w:r>
      <w:r>
        <w:rPr>
          <w:iCs/>
          <w:i/>
        </w:rPr>
        <w:t xml:space="preserve">Journal of Mathematical Psychology</w:t>
      </w:r>
      <w:r>
        <w:t xml:space="preserve">,</w:t>
      </w:r>
      <w:r>
        <w:t xml:space="preserve"> </w:t>
      </w:r>
      <w:r>
        <w:rPr>
          <w:iCs/>
          <w:i/>
        </w:rPr>
        <w:t xml:space="preserve">32</w:t>
      </w:r>
      <w:r>
        <w:t xml:space="preserve">(4), 449–465.</w:t>
      </w:r>
      <w:r>
        <w:t xml:space="preserve"> </w:t>
      </w:r>
      <w:hyperlink r:id="rId261">
        <w:r>
          <w:rPr>
            <w:rStyle w:val="Hyperlink"/>
          </w:rPr>
          <w:t xml:space="preserve">https://doi.org/10.1016/0022-2496(88)90023-5</w:t>
        </w:r>
      </w:hyperlink>
    </w:p>
    <w:bookmarkEnd w:id="262"/>
    <w:bookmarkStart w:id="263" w:name="ref-estesClassificationCognition1994"/>
    <w:p>
      <w:pPr>
        <w:pStyle w:val="Bibliography"/>
      </w:pPr>
      <w:r>
        <w:t xml:space="preserve">Estes, W. K. (1994).</w:t>
      </w:r>
      <w:r>
        <w:t xml:space="preserve"> </w:t>
      </w:r>
      <w:r>
        <w:rPr>
          <w:iCs/>
          <w:i/>
        </w:rPr>
        <w:t xml:space="preserve">Classification and</w:t>
      </w:r>
      <w:r>
        <w:rPr>
          <w:iCs/>
          <w:i/>
        </w:rPr>
        <w:t xml:space="preserve"> </w:t>
      </w:r>
      <w:r>
        <w:rPr>
          <w:iCs/>
          <w:i/>
        </w:rPr>
        <w:t xml:space="preserve">Cognition</w:t>
      </w:r>
      <w:r>
        <w:t xml:space="preserve">.</w:t>
      </w:r>
      <w:r>
        <w:t xml:space="preserve"> </w:t>
      </w:r>
      <w:r>
        <w:t xml:space="preserve">Oxford University Press</w:t>
      </w:r>
      <w:r>
        <w:t xml:space="preserve">.</w:t>
      </w:r>
    </w:p>
    <w:bookmarkEnd w:id="263"/>
    <w:bookmarkStart w:id="265" w:name="ref-faulStatisticalPowerAnalyses2009"/>
    <w:p>
      <w:pPr>
        <w:pStyle w:val="Bibliography"/>
      </w:pPr>
      <w:r>
        <w:t xml:space="preserve">Faul, F., Erdfelder, E., Buchner, A., &amp; Lang, A.-G. (2009). Statistical power analyses using</w:t>
      </w:r>
      <w:r>
        <w:t xml:space="preserve"> </w:t>
      </w:r>
      <w:r>
        <w:t xml:space="preserve">G</w:t>
      </w:r>
      <w:r>
        <w:t xml:space="preserve">*</w:t>
      </w:r>
      <w:r>
        <w:t xml:space="preserve">Power</w:t>
      </w:r>
      <w:r>
        <w:t xml:space="preserve"> </w:t>
      </w:r>
      <w:r>
        <w:t xml:space="preserve">3.1:</w:t>
      </w:r>
      <w:r>
        <w:t xml:space="preserve"> </w:t>
      </w:r>
      <w:r>
        <w:t xml:space="preserve">Tests</w:t>
      </w:r>
      <w:r>
        <w:t xml:space="preserve"> </w:t>
      </w:r>
      <w:r>
        <w:t xml:space="preserve">for correlation and regression analyses.</w:t>
      </w:r>
      <w:r>
        <w:t xml:space="preserve"> </w:t>
      </w:r>
      <w:r>
        <w:rPr>
          <w:iCs/>
          <w:i/>
        </w:rPr>
        <w:t xml:space="preserve">Behavior Research Methods</w:t>
      </w:r>
      <w:r>
        <w:t xml:space="preserve">,</w:t>
      </w:r>
      <w:r>
        <w:t xml:space="preserve"> </w:t>
      </w:r>
      <w:r>
        <w:rPr>
          <w:iCs/>
          <w:i/>
        </w:rPr>
        <w:t xml:space="preserve">41</w:t>
      </w:r>
      <w:r>
        <w:t xml:space="preserve">(4), 1149–1160.</w:t>
      </w:r>
      <w:r>
        <w:t xml:space="preserve"> </w:t>
      </w:r>
      <w:hyperlink r:id="rId264">
        <w:r>
          <w:rPr>
            <w:rStyle w:val="Hyperlink"/>
          </w:rPr>
          <w:t xml:space="preserve">https://doi.org/10.3758/BRM.41.4.1149</w:t>
        </w:r>
      </w:hyperlink>
    </w:p>
    <w:bookmarkEnd w:id="265"/>
    <w:bookmarkStart w:id="267" w:name="Xefb23fa0970bb425394daa396b6a6c9d15f023f"/>
    <w:p>
      <w:pPr>
        <w:pStyle w:val="Bibliography"/>
      </w:pPr>
      <w:r>
        <w:t xml:space="preserve">Fulvio, J. M., Green, C. S., &amp; Schrater, P. R. (2014). Task-</w:t>
      </w:r>
      <w:r>
        <w:t xml:space="preserve">Specific Response Strategy Selection</w:t>
      </w:r>
      <w:r>
        <w:t xml:space="preserve"> </w:t>
      </w:r>
      <w:r>
        <w:t xml:space="preserve">on the</w:t>
      </w:r>
      <w:r>
        <w:t xml:space="preserve"> </w:t>
      </w:r>
      <w:r>
        <w:t xml:space="preserve">Basis</w:t>
      </w:r>
      <w:r>
        <w:t xml:space="preserve"> </w:t>
      </w:r>
      <w:r>
        <w:t xml:space="preserve">of</w:t>
      </w:r>
      <w:r>
        <w:t xml:space="preserve"> </w:t>
      </w:r>
      <w:r>
        <w:t xml:space="preserve">Recent Training Experience</w:t>
      </w:r>
      <w:r>
        <w:t xml:space="preserve">.</w:t>
      </w:r>
      <w:r>
        <w:t xml:space="preserve"> </w:t>
      </w:r>
      <w:r>
        <w:rPr>
          <w:iCs/>
          <w:i/>
        </w:rPr>
        <w:t xml:space="preserve">PLOS Computational Biology</w:t>
      </w:r>
      <w:r>
        <w:t xml:space="preserve">,</w:t>
      </w:r>
      <w:r>
        <w:t xml:space="preserve"> </w:t>
      </w:r>
      <w:r>
        <w:rPr>
          <w:iCs/>
          <w:i/>
        </w:rPr>
        <w:t xml:space="preserve">10</w:t>
      </w:r>
      <w:r>
        <w:t xml:space="preserve">(1), e1003425.</w:t>
      </w:r>
      <w:r>
        <w:t xml:space="preserve"> </w:t>
      </w:r>
      <w:hyperlink r:id="rId266">
        <w:r>
          <w:rPr>
            <w:rStyle w:val="Hyperlink"/>
          </w:rPr>
          <w:t xml:space="preserve">https://doi.org/10.1371/journal.pcbi.1003425</w:t>
        </w:r>
      </w:hyperlink>
    </w:p>
    <w:bookmarkEnd w:id="267"/>
    <w:bookmarkStart w:id="269" w:name="ref-gandolfoMotorLearningField1996a"/>
    <w:p>
      <w:pPr>
        <w:pStyle w:val="Bibliography"/>
      </w:pPr>
      <w:r>
        <w:t xml:space="preserve">Gandolfo, F., Mussa-Ivaldi, F. A., &amp; Bizzi, E. (1996). Motor learning by field approximation.</w:t>
      </w:r>
      <w:r>
        <w:t xml:space="preserve"> </w:t>
      </w:r>
      <w:r>
        <w:rPr>
          <w:iCs/>
          <w:i/>
        </w:rPr>
        <w:t xml:space="preserve">Proceedings of the National Academy of Sciences</w:t>
      </w:r>
      <w:r>
        <w:t xml:space="preserve">,</w:t>
      </w:r>
      <w:r>
        <w:t xml:space="preserve"> </w:t>
      </w:r>
      <w:r>
        <w:rPr>
          <w:iCs/>
          <w:i/>
        </w:rPr>
        <w:t xml:space="preserve">93</w:t>
      </w:r>
      <w:r>
        <w:t xml:space="preserve">(9), 3843–3846.</w:t>
      </w:r>
      <w:r>
        <w:t xml:space="preserve"> </w:t>
      </w:r>
      <w:hyperlink r:id="rId268">
        <w:r>
          <w:rPr>
            <w:rStyle w:val="Hyperlink"/>
          </w:rPr>
          <w:t xml:space="preserve">https://doi.org/10.1073/pnas.93.9.3843</w:t>
        </w:r>
      </w:hyperlink>
    </w:p>
    <w:bookmarkEnd w:id="269"/>
    <w:bookmarkStart w:id="271" w:name="ref-georgeStimulusVariabilityTask2021"/>
    <w:p>
      <w:pPr>
        <w:pStyle w:val="Bibliography"/>
      </w:pPr>
      <w:r>
        <w:t xml:space="preserve">George, N., &amp; Egner, T. (2021). Stimulus variability and task relevance modulate binding-learning.</w:t>
      </w:r>
      <w:r>
        <w:t xml:space="preserve"> </w:t>
      </w:r>
      <w:r>
        <w:rPr>
          <w:iCs/>
          <w:i/>
        </w:rPr>
        <w:t xml:space="preserve">Attention, Perception, &amp; Psychophysics</w:t>
      </w:r>
      <w:r>
        <w:t xml:space="preserve">.</w:t>
      </w:r>
      <w:r>
        <w:t xml:space="preserve"> </w:t>
      </w:r>
      <w:hyperlink r:id="rId270">
        <w:r>
          <w:rPr>
            <w:rStyle w:val="Hyperlink"/>
          </w:rPr>
          <w:t xml:space="preserve">https://doi.org/10.3758/s13414-021-02338-6</w:t>
        </w:r>
      </w:hyperlink>
    </w:p>
    <w:bookmarkEnd w:id="271"/>
    <w:bookmarkStart w:id="273" w:name="X40d435793300079c57a178cf11fa7c4aa95dc91"/>
    <w:p>
      <w:pPr>
        <w:pStyle w:val="Bibliography"/>
      </w:pPr>
      <w:r>
        <w:t xml:space="preserve">Ghahramani, Z., Wolpert, D. M., &amp; Jordan, M. I. (1996). Generalization to</w:t>
      </w:r>
      <w:r>
        <w:t xml:space="preserve"> </w:t>
      </w:r>
      <w:r>
        <w:t xml:space="preserve">Local Remappings</w:t>
      </w:r>
      <w:r>
        <w:t xml:space="preserve"> </w:t>
      </w:r>
      <w:r>
        <w:t xml:space="preserve">of the</w:t>
      </w:r>
      <w:r>
        <w:t xml:space="preserve"> </w:t>
      </w:r>
      <w:r>
        <w:t xml:space="preserve">Visuomotor Coordinate Transformation</w:t>
      </w:r>
      <w:r>
        <w:t xml:space="preserve">.</w:t>
      </w:r>
      <w:r>
        <w:t xml:space="preserve"> </w:t>
      </w:r>
      <w:r>
        <w:rPr>
          <w:iCs/>
          <w:i/>
        </w:rPr>
        <w:t xml:space="preserve">Journal of Neuroscience</w:t>
      </w:r>
      <w:r>
        <w:t xml:space="preserve">,</w:t>
      </w:r>
      <w:r>
        <w:t xml:space="preserve"> </w:t>
      </w:r>
      <w:r>
        <w:rPr>
          <w:iCs/>
          <w:i/>
        </w:rPr>
        <w:t xml:space="preserve">16</w:t>
      </w:r>
      <w:r>
        <w:t xml:space="preserve">(21), 7085–7096.</w:t>
      </w:r>
      <w:r>
        <w:t xml:space="preserve"> </w:t>
      </w:r>
      <w:hyperlink r:id="rId272">
        <w:r>
          <w:rPr>
            <w:rStyle w:val="Hyperlink"/>
          </w:rPr>
          <w:t xml:space="preserve">https://doi.org/10.1523/JNEUROSCI.16-21-07085.1996</w:t>
        </w:r>
      </w:hyperlink>
    </w:p>
    <w:bookmarkEnd w:id="273"/>
    <w:bookmarkStart w:id="275" w:name="X5627e468e18b65dca3bb25ebf3a3d97db0e9cdc"/>
    <w:p>
      <w:pPr>
        <w:pStyle w:val="Bibliography"/>
      </w:pPr>
      <w:r>
        <w:t xml:space="preserve">Gonzalez, C., &amp; Madhavan, P. (2011). Diversity during training enhances detection of novel stimuli.</w:t>
      </w:r>
      <w:r>
        <w:t xml:space="preserve"> </w:t>
      </w:r>
      <w:r>
        <w:rPr>
          <w:iCs/>
          <w:i/>
        </w:rPr>
        <w:t xml:space="preserve">Journal of Cognitive Psychology</w:t>
      </w:r>
      <w:r>
        <w:t xml:space="preserve">,</w:t>
      </w:r>
      <w:r>
        <w:t xml:space="preserve"> </w:t>
      </w:r>
      <w:r>
        <w:rPr>
          <w:iCs/>
          <w:i/>
        </w:rPr>
        <w:t xml:space="preserve">23</w:t>
      </w:r>
      <w:r>
        <w:t xml:space="preserve">(3), 342–350.</w:t>
      </w:r>
      <w:r>
        <w:t xml:space="preserve"> </w:t>
      </w:r>
      <w:hyperlink r:id="rId274">
        <w:r>
          <w:rPr>
            <w:rStyle w:val="Hyperlink"/>
          </w:rPr>
          <w:t xml:space="preserve">https://doi.org/10.1080/20445911.2011.507187</w:t>
        </w:r>
      </w:hyperlink>
    </w:p>
    <w:bookmarkEnd w:id="275"/>
    <w:bookmarkStart w:id="277" w:name="ref-goodeSuperiorityVariableRepeated2008"/>
    <w:p>
      <w:pPr>
        <w:pStyle w:val="Bibliography"/>
      </w:pPr>
      <w:r>
        <w:t xml:space="preserve">Goode, M. K., Geraci, L., &amp; Roediger, H. L. (2008). Superiority of variable to repeated practice in transfer on anagram solution.</w:t>
      </w:r>
      <w:r>
        <w:t xml:space="preserve"> </w:t>
      </w:r>
      <w:r>
        <w:rPr>
          <w:iCs/>
          <w:i/>
        </w:rPr>
        <w:t xml:space="preserve">Psychonomic Bulletin &amp; Review</w:t>
      </w:r>
      <w:r>
        <w:t xml:space="preserve">,</w:t>
      </w:r>
      <w:r>
        <w:t xml:space="preserve"> </w:t>
      </w:r>
      <w:r>
        <w:rPr>
          <w:iCs/>
          <w:i/>
        </w:rPr>
        <w:t xml:space="preserve">15</w:t>
      </w:r>
      <w:r>
        <w:t xml:space="preserve">(3), 662–666.</w:t>
      </w:r>
      <w:r>
        <w:t xml:space="preserve"> </w:t>
      </w:r>
      <w:hyperlink r:id="rId276">
        <w:r>
          <w:rPr>
            <w:rStyle w:val="Hyperlink"/>
          </w:rPr>
          <w:t xml:space="preserve">https://doi.org/10.3758/PBR.15.3.662</w:t>
        </w:r>
      </w:hyperlink>
    </w:p>
    <w:bookmarkEnd w:id="277"/>
    <w:bookmarkStart w:id="279" w:name="ref-goodwinEffectDifferentQuantities1998"/>
    <w:p>
      <w:pPr>
        <w:pStyle w:val="Bibliography"/>
      </w:pPr>
      <w:r>
        <w:t xml:space="preserve">Goodwin, J. E., Eckerson, J. M., Grimes, C. R., &amp; Gordon, P. M. (1998). Effect of</w:t>
      </w:r>
      <w:r>
        <w:t xml:space="preserve"> </w:t>
      </w:r>
      <w:r>
        <w:t xml:space="preserve">Different Quantities</w:t>
      </w:r>
      <w:r>
        <w:t xml:space="preserve"> </w:t>
      </w:r>
      <w:r>
        <w:t xml:space="preserve">of</w:t>
      </w:r>
      <w:r>
        <w:t xml:space="preserve"> </w:t>
      </w:r>
      <w:r>
        <w:t xml:space="preserve">Variable Practice</w:t>
      </w:r>
      <w:r>
        <w:t xml:space="preserve"> </w:t>
      </w:r>
      <w:r>
        <w:t xml:space="preserve">on</w:t>
      </w:r>
      <w:r>
        <w:t xml:space="preserve"> </w:t>
      </w:r>
      <w:r>
        <w:t xml:space="preserve">Acquisition</w:t>
      </w:r>
      <w:r>
        <w:t xml:space="preserve">,</w:t>
      </w:r>
      <w:r>
        <w:t xml:space="preserve"> </w:t>
      </w:r>
      <w:r>
        <w:t xml:space="preserve">Retention</w:t>
      </w:r>
      <w:r>
        <w:t xml:space="preserve">, and</w:t>
      </w:r>
      <w:r>
        <w:t xml:space="preserve"> </w:t>
      </w:r>
      <w:r>
        <w:t xml:space="preserve">Transfer</w:t>
      </w:r>
      <w:r>
        <w:t xml:space="preserve"> </w:t>
      </w:r>
      <w:r>
        <w:t xml:space="preserve">of</w:t>
      </w:r>
      <w:r>
        <w:t xml:space="preserve"> </w:t>
      </w:r>
      <w:r>
        <w:t xml:space="preserve">An Applied Motor Skill</w:t>
      </w:r>
      <w:r>
        <w:t xml:space="preserve">.</w:t>
      </w:r>
      <w:r>
        <w:t xml:space="preserve"> </w:t>
      </w:r>
      <w:r>
        <w:rPr>
          <w:iCs/>
          <w:i/>
        </w:rPr>
        <w:t xml:space="preserve">Perceptual and Motor Skills</w:t>
      </w:r>
      <w:r>
        <w:t xml:space="preserve">,</w:t>
      </w:r>
      <w:r>
        <w:t xml:space="preserve"> </w:t>
      </w:r>
      <w:r>
        <w:rPr>
          <w:iCs/>
          <w:i/>
        </w:rPr>
        <w:t xml:space="preserve">87</w:t>
      </w:r>
      <w:r>
        <w:t xml:space="preserve">(1), 147–151.</w:t>
      </w:r>
      <w:r>
        <w:t xml:space="preserve"> </w:t>
      </w:r>
      <w:hyperlink r:id="rId278">
        <w:r>
          <w:rPr>
            <w:rStyle w:val="Hyperlink"/>
          </w:rPr>
          <w:t xml:space="preserve">https://doi.org/10.2466/pms.1998.87.1.147</w:t>
        </w:r>
      </w:hyperlink>
    </w:p>
    <w:bookmarkEnd w:id="279"/>
    <w:bookmarkStart w:id="281" w:name="X7b3504012b6fd1a5c5c468378db0668b06afb06"/>
    <w:p>
      <w:pPr>
        <w:pStyle w:val="Bibliography"/>
      </w:pPr>
      <w:r>
        <w:t xml:space="preserve">Green, D. P., Whitehead, J., &amp; Sugden, D. A. (1995). Practice</w:t>
      </w:r>
      <w:r>
        <w:t xml:space="preserve"> </w:t>
      </w:r>
      <w:r>
        <w:t xml:space="preserve">Variability</w:t>
      </w:r>
      <w:r>
        <w:t xml:space="preserve"> </w:t>
      </w:r>
      <w:r>
        <w:t xml:space="preserve">and</w:t>
      </w:r>
      <w:r>
        <w:t xml:space="preserve"> </w:t>
      </w:r>
      <w:r>
        <w:t xml:space="preserve">Transfer</w:t>
      </w:r>
      <w:r>
        <w:t xml:space="preserve"> </w:t>
      </w:r>
      <w:r>
        <w:t xml:space="preserve">of a</w:t>
      </w:r>
      <w:r>
        <w:t xml:space="preserve"> </w:t>
      </w:r>
      <w:r>
        <w:t xml:space="preserve">Racket Skill</w:t>
      </w:r>
      <w:r>
        <w:t xml:space="preserve">.</w:t>
      </w:r>
      <w:r>
        <w:t xml:space="preserve"> </w:t>
      </w:r>
      <w:r>
        <w:rPr>
          <w:iCs/>
          <w:i/>
        </w:rPr>
        <w:t xml:space="preserve">Perceptual and Motor Skills</w:t>
      </w:r>
      <w:r>
        <w:t xml:space="preserve">,</w:t>
      </w:r>
      <w:r>
        <w:t xml:space="preserve"> </w:t>
      </w:r>
      <w:r>
        <w:rPr>
          <w:iCs/>
          <w:i/>
        </w:rPr>
        <w:t xml:space="preserve">81</w:t>
      </w:r>
      <w:r>
        <w:t xml:space="preserve">(3_suppl), 1275–1281.</w:t>
      </w:r>
      <w:r>
        <w:t xml:space="preserve"> </w:t>
      </w:r>
      <w:hyperlink r:id="rId280">
        <w:r>
          <w:rPr>
            <w:rStyle w:val="Hyperlink"/>
          </w:rPr>
          <w:t xml:space="preserve">https://doi.org/10.2466/pms.1995.81.3f.1275</w:t>
        </w:r>
      </w:hyperlink>
    </w:p>
    <w:bookmarkEnd w:id="281"/>
    <w:bookmarkStart w:id="282" w:name="X3bd2e91f379ffe38ec6c9303cb8726a99e1e97c"/>
    <w:p>
      <w:pPr>
        <w:pStyle w:val="Bibliography"/>
      </w:pPr>
      <w:r>
        <w:t xml:space="preserve">Guadagnoli, M. A., Holcomb, W. R., &amp; Weber, T. J. (1999). The relationship between contextual interference effects and performer expertise on the learning of a putting task.</w:t>
      </w:r>
      <w:r>
        <w:t xml:space="preserve"> </w:t>
      </w:r>
      <w:r>
        <w:rPr>
          <w:iCs/>
          <w:i/>
        </w:rPr>
        <w:t xml:space="preserve">Journal of Human Movement Studies</w:t>
      </w:r>
      <w:r>
        <w:t xml:space="preserve">,</w:t>
      </w:r>
      <w:r>
        <w:t xml:space="preserve"> </w:t>
      </w:r>
      <w:r>
        <w:rPr>
          <w:iCs/>
          <w:i/>
        </w:rPr>
        <w:t xml:space="preserve">37</w:t>
      </w:r>
      <w:r>
        <w:t xml:space="preserve">(1), 19–36.</w:t>
      </w:r>
    </w:p>
    <w:bookmarkEnd w:id="282"/>
    <w:bookmarkStart w:id="284" w:name="X62173b926585d4ea07a5df59dd37e816a18bbe7"/>
    <w:p>
      <w:pPr>
        <w:pStyle w:val="Bibliography"/>
      </w:pPr>
      <w:r>
        <w:t xml:space="preserve">Guadagnoli, M. A., &amp; Lee, T. D. (2004). Challenge</w:t>
      </w:r>
      <w:r>
        <w:t xml:space="preserve"> </w:t>
      </w:r>
      <w:r>
        <w:t xml:space="preserve">Point</w:t>
      </w:r>
      <w:r>
        <w:t xml:space="preserve">:</w:t>
      </w:r>
      <w:r>
        <w:t xml:space="preserve"> </w:t>
      </w:r>
      <w:r>
        <w:t xml:space="preserve">A Framework</w:t>
      </w:r>
      <w:r>
        <w:t xml:space="preserve"> </w:t>
      </w:r>
      <w:r>
        <w:t xml:space="preserve">for</w:t>
      </w:r>
      <w:r>
        <w:t xml:space="preserve"> </w:t>
      </w:r>
      <w:r>
        <w:t xml:space="preserve">Conceptualizing</w:t>
      </w:r>
      <w:r>
        <w:t xml:space="preserve"> </w:t>
      </w:r>
      <w:r>
        <w:t xml:space="preserve">the</w:t>
      </w:r>
      <w:r>
        <w:t xml:space="preserve"> </w:t>
      </w:r>
      <w:r>
        <w:t xml:space="preserve">Effects</w:t>
      </w:r>
      <w:r>
        <w:t xml:space="preserve"> </w:t>
      </w:r>
      <w:r>
        <w:t xml:space="preserve">of</w:t>
      </w:r>
      <w:r>
        <w:t xml:space="preserve"> </w:t>
      </w:r>
      <w:r>
        <w:t xml:space="preserve">Various Practice Conditions</w:t>
      </w:r>
      <w:r>
        <w:t xml:space="preserve"> </w:t>
      </w:r>
      <w:r>
        <w:t xml:space="preserve">in</w:t>
      </w:r>
      <w:r>
        <w:t xml:space="preserve"> </w:t>
      </w:r>
      <w:r>
        <w:t xml:space="preserve">Motor Learning</w:t>
      </w:r>
      <w:r>
        <w:t xml:space="preserve">.</w:t>
      </w:r>
      <w:r>
        <w:t xml:space="preserve"> </w:t>
      </w:r>
      <w:r>
        <w:rPr>
          <w:iCs/>
          <w:i/>
        </w:rPr>
        <w:t xml:space="preserve">Journal of Motor Behavior</w:t>
      </w:r>
      <w:r>
        <w:t xml:space="preserve">,</w:t>
      </w:r>
      <w:r>
        <w:t xml:space="preserve"> </w:t>
      </w:r>
      <w:r>
        <w:rPr>
          <w:iCs/>
          <w:i/>
        </w:rPr>
        <w:t xml:space="preserve">36</w:t>
      </w:r>
      <w:r>
        <w:t xml:space="preserve">(2), 212–224.</w:t>
      </w:r>
      <w:r>
        <w:t xml:space="preserve"> </w:t>
      </w:r>
      <w:hyperlink r:id="rId283">
        <w:r>
          <w:rPr>
            <w:rStyle w:val="Hyperlink"/>
          </w:rPr>
          <w:t xml:space="preserve">https://doi.org/10.3200/JMBR.36.2.212-224</w:t>
        </w:r>
      </w:hyperlink>
    </w:p>
    <w:bookmarkEnd w:id="284"/>
    <w:bookmarkStart w:id="286" w:name="ref-hahnEffectsCategoryDiversity2005"/>
    <w:p>
      <w:pPr>
        <w:pStyle w:val="Bibliography"/>
      </w:pPr>
      <w:r>
        <w:t xml:space="preserve">Hahn, U., Bailey, T. M., &amp; Elvin, L. B. C. (2005). Effects of category diversity on learning, memory, and generalization.</w:t>
      </w:r>
      <w:r>
        <w:t xml:space="preserve"> </w:t>
      </w:r>
      <w:r>
        <w:rPr>
          <w:iCs/>
          <w:i/>
        </w:rPr>
        <w:t xml:space="preserve">Memory &amp; Cognition</w:t>
      </w:r>
      <w:r>
        <w:t xml:space="preserve">,</w:t>
      </w:r>
      <w:r>
        <w:t xml:space="preserve"> </w:t>
      </w:r>
      <w:r>
        <w:rPr>
          <w:iCs/>
          <w:i/>
        </w:rPr>
        <w:t xml:space="preserve">33</w:t>
      </w:r>
      <w:r>
        <w:t xml:space="preserve">(2), 289–302.</w:t>
      </w:r>
      <w:r>
        <w:t xml:space="preserve"> </w:t>
      </w:r>
      <w:hyperlink r:id="rId285">
        <w:r>
          <w:rPr>
            <w:rStyle w:val="Hyperlink"/>
          </w:rPr>
          <w:t xml:space="preserve">https://doi.org/10.3758/BF03195318</w:t>
        </w:r>
      </w:hyperlink>
    </w:p>
    <w:bookmarkEnd w:id="286"/>
    <w:bookmarkStart w:id="288" w:name="ref-hillsCentralExecutiveSearch2010"/>
    <w:p>
      <w:pPr>
        <w:pStyle w:val="Bibliography"/>
      </w:pPr>
      <w:r>
        <w:t xml:space="preserve">Hills, T. T., Todd, P. M., &amp; Goldstone, R. L. (2010). The central executive as a search process:</w:t>
      </w:r>
      <w:r>
        <w:t xml:space="preserve"> </w:t>
      </w:r>
      <w:r>
        <w:t xml:space="preserve">Priming</w:t>
      </w:r>
      <w:r>
        <w:t xml:space="preserve"> </w:t>
      </w:r>
      <w:r>
        <w:t xml:space="preserve">exploration and exploitation across domains.</w:t>
      </w:r>
      <w:r>
        <w:t xml:space="preserve"> </w:t>
      </w:r>
      <w:r>
        <w:rPr>
          <w:iCs/>
          <w:i/>
        </w:rPr>
        <w:t xml:space="preserve">Journal of Experimental Psychology: General</w:t>
      </w:r>
      <w:r>
        <w:t xml:space="preserve">,</w:t>
      </w:r>
      <w:r>
        <w:t xml:space="preserve"> </w:t>
      </w:r>
      <w:r>
        <w:rPr>
          <w:iCs/>
          <w:i/>
        </w:rPr>
        <w:t xml:space="preserve">139</w:t>
      </w:r>
      <w:r>
        <w:t xml:space="preserve">(4), 590–609.</w:t>
      </w:r>
      <w:r>
        <w:t xml:space="preserve"> </w:t>
      </w:r>
      <w:hyperlink r:id="rId287">
        <w:r>
          <w:rPr>
            <w:rStyle w:val="Hyperlink"/>
          </w:rPr>
          <w:t xml:space="preserve">https://doi.org/10.1037/a0020666</w:t>
        </w:r>
      </w:hyperlink>
    </w:p>
    <w:bookmarkEnd w:id="288"/>
    <w:bookmarkStart w:id="290" w:name="ref-hintzmanMINERVASimulationModel1984"/>
    <w:p>
      <w:pPr>
        <w:pStyle w:val="Bibliography"/>
      </w:pPr>
      <w:r>
        <w:t xml:space="preserve">Hintzman, D. L. (1984).</w:t>
      </w:r>
      <w:r>
        <w:t xml:space="preserve"> </w:t>
      </w:r>
      <w:r>
        <w:t xml:space="preserve">MINERVA</w:t>
      </w:r>
      <w:r>
        <w:t xml:space="preserve"> </w:t>
      </w:r>
      <w:r>
        <w:t xml:space="preserve">2:</w:t>
      </w:r>
      <w:r>
        <w:t xml:space="preserve"> </w:t>
      </w:r>
      <w:r>
        <w:t xml:space="preserve">A</w:t>
      </w:r>
      <w:r>
        <w:t xml:space="preserve"> </w:t>
      </w:r>
      <w:r>
        <w:t xml:space="preserve">simulation model of human memory.</w:t>
      </w:r>
      <w:r>
        <w:t xml:space="preserve"> </w:t>
      </w:r>
      <w:r>
        <w:rPr>
          <w:iCs/>
          <w:i/>
        </w:rPr>
        <w:t xml:space="preserve">Behavior Research Methods, Instruments, &amp; Computers</w:t>
      </w:r>
      <w:r>
        <w:t xml:space="preserve">,</w:t>
      </w:r>
      <w:r>
        <w:t xml:space="preserve"> </w:t>
      </w:r>
      <w:r>
        <w:rPr>
          <w:iCs/>
          <w:i/>
        </w:rPr>
        <w:t xml:space="preserve">16</w:t>
      </w:r>
      <w:r>
        <w:t xml:space="preserve">(2), 96–101.</w:t>
      </w:r>
      <w:r>
        <w:t xml:space="preserve"> </w:t>
      </w:r>
      <w:hyperlink r:id="rId289">
        <w:r>
          <w:rPr>
            <w:rStyle w:val="Hyperlink"/>
          </w:rPr>
          <w:t xml:space="preserve">https://doi.org/10.3758/BF03202365</w:t>
        </w:r>
      </w:hyperlink>
    </w:p>
    <w:bookmarkEnd w:id="290"/>
    <w:bookmarkStart w:id="292" w:name="ref-homaCategoryBreadthAbstraction1976"/>
    <w:p>
      <w:pPr>
        <w:pStyle w:val="Bibliography"/>
      </w:pPr>
      <w:r>
        <w:t xml:space="preserve">Homa, D., &amp; Vosburgh, R. (1976). Category breadth and the abstraction of prototypical information.</w:t>
      </w:r>
      <w:r>
        <w:t xml:space="preserve"> </w:t>
      </w:r>
      <w:r>
        <w:rPr>
          <w:iCs/>
          <w:i/>
        </w:rPr>
        <w:t xml:space="preserve">Journal of Experimental Psychology: Human Learning and Memory</w:t>
      </w:r>
      <w:r>
        <w:t xml:space="preserve">,</w:t>
      </w:r>
      <w:r>
        <w:t xml:space="preserve"> </w:t>
      </w:r>
      <w:r>
        <w:rPr>
          <w:iCs/>
          <w:i/>
        </w:rPr>
        <w:t xml:space="preserve">2</w:t>
      </w:r>
      <w:r>
        <w:t xml:space="preserve">(3), 322–330.</w:t>
      </w:r>
      <w:r>
        <w:t xml:space="preserve"> </w:t>
      </w:r>
      <w:hyperlink r:id="rId291">
        <w:r>
          <w:rPr>
            <w:rStyle w:val="Hyperlink"/>
          </w:rPr>
          <w:t xml:space="preserve">https://doi.org/10.1037/0278-7393.2.3.322</w:t>
        </w:r>
      </w:hyperlink>
    </w:p>
    <w:bookmarkEnd w:id="292"/>
    <w:bookmarkStart w:id="294" w:name="ref-hommelEventFilesEvidence1998"/>
    <w:p>
      <w:pPr>
        <w:pStyle w:val="Bibliography"/>
      </w:pPr>
      <w:r>
        <w:t xml:space="preserve">Hommel, B. (1998). Event</w:t>
      </w:r>
      <w:r>
        <w:t xml:space="preserve"> </w:t>
      </w:r>
      <w:r>
        <w:t xml:space="preserve">Files</w:t>
      </w:r>
      <w:r>
        <w:t xml:space="preserve">:</w:t>
      </w:r>
      <w:r>
        <w:t xml:space="preserve"> </w:t>
      </w:r>
      <w:r>
        <w:t xml:space="preserve">Evidence</w:t>
      </w:r>
      <w:r>
        <w:t xml:space="preserve"> </w:t>
      </w:r>
      <w:r>
        <w:t xml:space="preserve">for</w:t>
      </w:r>
      <w:r>
        <w:t xml:space="preserve"> </w:t>
      </w:r>
      <w:r>
        <w:t xml:space="preserve">Automatic Integration</w:t>
      </w:r>
      <w:r>
        <w:t xml:space="preserve"> </w:t>
      </w:r>
      <w:r>
        <w:t xml:space="preserve">of</w:t>
      </w:r>
      <w:r>
        <w:t xml:space="preserve"> </w:t>
      </w:r>
      <w:r>
        <w:t xml:space="preserve">Stimulus-Response Episodes</w:t>
      </w:r>
      <w:r>
        <w:t xml:space="preserve">.</w:t>
      </w:r>
      <w:r>
        <w:t xml:space="preserve"> </w:t>
      </w:r>
      <w:r>
        <w:rPr>
          <w:iCs/>
          <w:i/>
        </w:rPr>
        <w:t xml:space="preserve">Visual Cognition</w:t>
      </w:r>
      <w:r>
        <w:t xml:space="preserve">,</w:t>
      </w:r>
      <w:r>
        <w:t xml:space="preserve"> </w:t>
      </w:r>
      <w:r>
        <w:rPr>
          <w:iCs/>
          <w:i/>
        </w:rPr>
        <w:t xml:space="preserve">5</w:t>
      </w:r>
      <w:r>
        <w:t xml:space="preserve">(1-2), 183–216.</w:t>
      </w:r>
      <w:r>
        <w:t xml:space="preserve"> </w:t>
      </w:r>
      <w:hyperlink r:id="rId293">
        <w:r>
          <w:rPr>
            <w:rStyle w:val="Hyperlink"/>
          </w:rPr>
          <w:t xml:space="preserve">https://doi.org/10.1080/713756773</w:t>
        </w:r>
      </w:hyperlink>
    </w:p>
    <w:bookmarkEnd w:id="294"/>
    <w:bookmarkStart w:id="295" w:name="X0760d208c7fb826c3654e58265b5d2fbfd74038"/>
    <w:p>
      <w:pPr>
        <w:pStyle w:val="Bibliography"/>
      </w:pPr>
      <w:r>
        <w:t xml:space="preserve">Hsu, A. S., &amp; Griffiths, T. L. (2010). Effects of generative and discriminative learning on use of category variability.</w:t>
      </w:r>
      <w:r>
        <w:t xml:space="preserve"> </w:t>
      </w:r>
      <w:r>
        <w:rPr>
          <w:iCs/>
          <w:i/>
        </w:rPr>
        <w:t xml:space="preserve">32nd Annual Conference of the Cognitive Science Society</w:t>
      </w:r>
      <w:r>
        <w:t xml:space="preserve">, 7.</w:t>
      </w:r>
    </w:p>
    <w:bookmarkEnd w:id="295"/>
    <w:bookmarkStart w:id="297" w:name="Xf5783815c7ed800a0ae02845a66384d9da1ebe7"/>
    <w:p>
      <w:pPr>
        <w:pStyle w:val="Bibliography"/>
      </w:pPr>
      <w:r>
        <w:t xml:space="preserve">Jamieson, R. K., Johns, B. T., Vokey, J. R., &amp; Jones, M. N. (2022). Instance theory as a domain-general framework for cognitive psychology.</w:t>
      </w:r>
      <w:r>
        <w:t xml:space="preserve"> </w:t>
      </w:r>
      <w:r>
        <w:rPr>
          <w:iCs/>
          <w:i/>
        </w:rPr>
        <w:t xml:space="preserve">Nature Reviews Psychology</w:t>
      </w:r>
      <w:r>
        <w:t xml:space="preserve">,</w:t>
      </w:r>
      <w:r>
        <w:t xml:space="preserve"> </w:t>
      </w:r>
      <w:r>
        <w:rPr>
          <w:iCs/>
          <w:i/>
        </w:rPr>
        <w:t xml:space="preserve">1</w:t>
      </w:r>
      <w:r>
        <w:t xml:space="preserve">(3), 174–183.</w:t>
      </w:r>
      <w:r>
        <w:t xml:space="preserve"> </w:t>
      </w:r>
      <w:hyperlink r:id="rId296">
        <w:r>
          <w:rPr>
            <w:rStyle w:val="Hyperlink"/>
          </w:rPr>
          <w:t xml:space="preserve">https://doi.org/10.1038/s44159-022-00025-3</w:t>
        </w:r>
      </w:hyperlink>
    </w:p>
    <w:bookmarkEnd w:id="297"/>
    <w:bookmarkStart w:id="299" w:name="ref-jonesDensityDistinctivenessEarly2020"/>
    <w:p>
      <w:pPr>
        <w:pStyle w:val="Bibliography"/>
      </w:pPr>
      <w:r>
        <w:t xml:space="preserve">Jones, S. D., &amp; Brandt, S. (2020). Density and</w:t>
      </w:r>
      <w:r>
        <w:t xml:space="preserve"> </w:t>
      </w:r>
      <w:r>
        <w:t xml:space="preserve">Distinctiveness</w:t>
      </w:r>
      <w:r>
        <w:t xml:space="preserve"> </w:t>
      </w:r>
      <w:r>
        <w:t xml:space="preserve">in</w:t>
      </w:r>
      <w:r>
        <w:t xml:space="preserve"> </w:t>
      </w:r>
      <w:r>
        <w:t xml:space="preserve">Early Word Learning</w:t>
      </w:r>
      <w:r>
        <w:t xml:space="preserve">:</w:t>
      </w:r>
      <w:r>
        <w:t xml:space="preserve"> </w:t>
      </w:r>
      <w:r>
        <w:t xml:space="preserve">Evidence From Neural Network Simulations</w:t>
      </w:r>
      <w:r>
        <w:t xml:space="preserve">.</w:t>
      </w:r>
      <w:r>
        <w:t xml:space="preserve"> </w:t>
      </w:r>
      <w:r>
        <w:rPr>
          <w:iCs/>
          <w:i/>
        </w:rPr>
        <w:t xml:space="preserve">Cognitive Science</w:t>
      </w:r>
      <w:r>
        <w:t xml:space="preserve">,</w:t>
      </w:r>
      <w:r>
        <w:t xml:space="preserve"> </w:t>
      </w:r>
      <w:r>
        <w:rPr>
          <w:iCs/>
          <w:i/>
        </w:rPr>
        <w:t xml:space="preserve">44</w:t>
      </w:r>
      <w:r>
        <w:t xml:space="preserve">(1), e12812.</w:t>
      </w:r>
      <w:r>
        <w:t xml:space="preserve"> </w:t>
      </w:r>
      <w:hyperlink r:id="rId298">
        <w:r>
          <w:rPr>
            <w:rStyle w:val="Hyperlink"/>
          </w:rPr>
          <w:t xml:space="preserve">https://doi.org/10.1111/cogs.12812</w:t>
        </w:r>
      </w:hyperlink>
    </w:p>
    <w:bookmarkEnd w:id="299"/>
    <w:bookmarkStart w:id="301" w:name="ref-kalishPopulationLinearExperts2004"/>
    <w:p>
      <w:pPr>
        <w:pStyle w:val="Bibliography"/>
      </w:pPr>
      <w:r>
        <w:t xml:space="preserve">Kalish, M. L., Lewandowsky, S., &amp; Kruschke, J. K. (2004). Population of</w:t>
      </w:r>
      <w:r>
        <w:t xml:space="preserve"> </w:t>
      </w:r>
      <w:r>
        <w:t xml:space="preserve">Linear Experts</w:t>
      </w:r>
      <w:r>
        <w:t xml:space="preserve">:</w:t>
      </w:r>
      <w:r>
        <w:t xml:space="preserve"> </w:t>
      </w:r>
      <w:r>
        <w:t xml:space="preserve">Knowledge Partitioning</w:t>
      </w:r>
      <w:r>
        <w:t xml:space="preserve"> </w:t>
      </w:r>
      <w:r>
        <w:t xml:space="preserve">and</w:t>
      </w:r>
      <w:r>
        <w:t xml:space="preserve"> </w:t>
      </w:r>
      <w:r>
        <w:t xml:space="preserve">Function Learning</w:t>
      </w:r>
      <w:r>
        <w:t xml:space="preserve">.</w:t>
      </w:r>
      <w:r>
        <w:t xml:space="preserve"> </w:t>
      </w:r>
      <w:r>
        <w:rPr>
          <w:iCs/>
          <w:i/>
        </w:rPr>
        <w:t xml:space="preserve">Psychological Review</w:t>
      </w:r>
      <w:r>
        <w:t xml:space="preserve">,</w:t>
      </w:r>
      <w:r>
        <w:t xml:space="preserve"> </w:t>
      </w:r>
      <w:r>
        <w:rPr>
          <w:iCs/>
          <w:i/>
        </w:rPr>
        <w:t xml:space="preserve">111</w:t>
      </w:r>
      <w:r>
        <w:t xml:space="preserve">(4), 1072–1099.</w:t>
      </w:r>
      <w:r>
        <w:t xml:space="preserve"> </w:t>
      </w:r>
      <w:hyperlink r:id="rId300">
        <w:r>
          <w:rPr>
            <w:rStyle w:val="Hyperlink"/>
          </w:rPr>
          <w:t xml:space="preserve">https://doi.org/10.1037/0033-295X.111.4.1072</w:t>
        </w:r>
      </w:hyperlink>
    </w:p>
    <w:bookmarkEnd w:id="301"/>
    <w:bookmarkStart w:id="303" w:name="ref-kelleyLearningAttendEffects2009"/>
    <w:p>
      <w:pPr>
        <w:pStyle w:val="Bibliography"/>
      </w:pPr>
      <w:r>
        <w:t xml:space="preserve">Kelley, T. A., &amp; Yantis, S. (2009). Learning to attend:</w:t>
      </w:r>
      <w:r>
        <w:t xml:space="preserve"> </w:t>
      </w:r>
      <w:r>
        <w:t xml:space="preserve">Effects</w:t>
      </w:r>
      <w:r>
        <w:t xml:space="preserve"> </w:t>
      </w:r>
      <w:r>
        <w:t xml:space="preserve">of practice on information selection.</w:t>
      </w:r>
      <w:r>
        <w:t xml:space="preserve"> </w:t>
      </w:r>
      <w:r>
        <w:rPr>
          <w:iCs/>
          <w:i/>
        </w:rPr>
        <w:t xml:space="preserve">Journal of Vision</w:t>
      </w:r>
      <w:r>
        <w:t xml:space="preserve">,</w:t>
      </w:r>
      <w:r>
        <w:t xml:space="preserve"> </w:t>
      </w:r>
      <w:r>
        <w:rPr>
          <w:iCs/>
          <w:i/>
        </w:rPr>
        <w:t xml:space="preserve">9</w:t>
      </w:r>
      <w:r>
        <w:t xml:space="preserve">(7), 16.</w:t>
      </w:r>
      <w:r>
        <w:t xml:space="preserve"> </w:t>
      </w:r>
      <w:hyperlink r:id="rId302">
        <w:r>
          <w:rPr>
            <w:rStyle w:val="Hyperlink"/>
          </w:rPr>
          <w:t xml:space="preserve">https://doi.org/10.1167/9.7.16</w:t>
        </w:r>
      </w:hyperlink>
    </w:p>
    <w:bookmarkEnd w:id="303"/>
    <w:bookmarkStart w:id="305" w:name="ref-kerrSpecificVariedPractice1978"/>
    <w:p>
      <w:pPr>
        <w:pStyle w:val="Bibliography"/>
      </w:pPr>
      <w:r>
        <w:t xml:space="preserve">Kerr, R., &amp; Booth, B. (1978). Specific and varied practice of motor skill.</w:t>
      </w:r>
      <w:r>
        <w:t xml:space="preserve"> </w:t>
      </w:r>
      <w:r>
        <w:rPr>
          <w:iCs/>
          <w:i/>
        </w:rPr>
        <w:t xml:space="preserve">Perceptual and Motor Skills</w:t>
      </w:r>
      <w:r>
        <w:t xml:space="preserve">,</w:t>
      </w:r>
      <w:r>
        <w:t xml:space="preserve"> </w:t>
      </w:r>
      <w:r>
        <w:rPr>
          <w:iCs/>
          <w:i/>
        </w:rPr>
        <w:t xml:space="preserve">46</w:t>
      </w:r>
      <w:r>
        <w:t xml:space="preserve">(2), 395–401.</w:t>
      </w:r>
      <w:r>
        <w:t xml:space="preserve"> </w:t>
      </w:r>
      <w:hyperlink r:id="rId304">
        <w:r>
          <w:rPr>
            <w:rStyle w:val="Hyperlink"/>
          </w:rPr>
          <w:t xml:space="preserve">https://doi.org/10.1177/003151257804600201</w:t>
        </w:r>
      </w:hyperlink>
    </w:p>
    <w:bookmarkEnd w:id="305"/>
    <w:bookmarkStart w:id="307" w:name="ref-kohFunctionLearningInduction1991"/>
    <w:p>
      <w:pPr>
        <w:pStyle w:val="Bibliography"/>
      </w:pPr>
      <w:r>
        <w:t xml:space="preserve">Koh, K., &amp; Meyer, D. E. (1991). Function learning:</w:t>
      </w:r>
      <w:r>
        <w:t xml:space="preserve"> </w:t>
      </w:r>
      <w:r>
        <w:t xml:space="preserve">Induction</w:t>
      </w:r>
      <w:r>
        <w:t xml:space="preserve"> </w:t>
      </w:r>
      <w:r>
        <w:t xml:space="preserve">of continuous stimulus-response relations.</w:t>
      </w:r>
      <w:r>
        <w:t xml:space="preserve"> </w:t>
      </w:r>
      <w:r>
        <w:rPr>
          <w:iCs/>
          <w:i/>
        </w:rPr>
        <w:t xml:space="preserve">Journal of Experimental Psychology: Learning, Memory, and Cognition</w:t>
      </w:r>
      <w:r>
        <w:t xml:space="preserve">,</w:t>
      </w:r>
      <w:r>
        <w:t xml:space="preserve"> </w:t>
      </w:r>
      <w:r>
        <w:rPr>
          <w:iCs/>
          <w:i/>
        </w:rPr>
        <w:t xml:space="preserve">17</w:t>
      </w:r>
      <w:r>
        <w:t xml:space="preserve">(5), 811.</w:t>
      </w:r>
      <w:r>
        <w:t xml:space="preserve"> </w:t>
      </w:r>
      <w:hyperlink r:id="rId306">
        <w:r>
          <w:rPr>
            <w:rStyle w:val="Hyperlink"/>
          </w:rPr>
          <w:t xml:space="preserve">https://doi.org/10.1037/0278-7393.17.5.811</w:t>
        </w:r>
      </w:hyperlink>
    </w:p>
    <w:bookmarkEnd w:id="307"/>
    <w:bookmarkStart w:id="309" w:name="Xdb7e4c44c36e324f43a0c9fdfdb4efa7d250832"/>
    <w:p>
      <w:pPr>
        <w:pStyle w:val="Bibliography"/>
      </w:pPr>
      <w:r>
        <w:t xml:space="preserve">Kruschke, J. K. (1992).</w:t>
      </w:r>
      <w:r>
        <w:t xml:space="preserve"> </w:t>
      </w:r>
      <w:r>
        <w:t xml:space="preserve">ALCOVE</w:t>
      </w:r>
      <w:r>
        <w:t xml:space="preserve">:</w:t>
      </w:r>
      <w:r>
        <w:t xml:space="preserve"> </w:t>
      </w:r>
      <w:r>
        <w:t xml:space="preserve">An</w:t>
      </w:r>
      <w:r>
        <w:t xml:space="preserve"> </w:t>
      </w:r>
      <w:r>
        <w:t xml:space="preserve">exemplar-based connectionist model of</w:t>
      </w:r>
      <w:r>
        <w:t xml:space="preserve"> </w:t>
      </w:r>
      <w:r>
        <w:t xml:space="preserve">Category Learning</w:t>
      </w:r>
      <w:r>
        <w:t xml:space="preserve">.</w:t>
      </w:r>
      <w:r>
        <w:t xml:space="preserve"> </w:t>
      </w:r>
      <w:r>
        <w:rPr>
          <w:iCs/>
          <w:i/>
        </w:rPr>
        <w:t xml:space="preserve">Psychological Review</w:t>
      </w:r>
      <w:r>
        <w:t xml:space="preserve">,</w:t>
      </w:r>
      <w:r>
        <w:t xml:space="preserve"> </w:t>
      </w:r>
      <w:r>
        <w:rPr>
          <w:iCs/>
          <w:i/>
        </w:rPr>
        <w:t xml:space="preserve">99</w:t>
      </w:r>
      <w:r>
        <w:t xml:space="preserve">(1).</w:t>
      </w:r>
      <w:r>
        <w:t xml:space="preserve"> </w:t>
      </w:r>
      <w:hyperlink r:id="rId308">
        <w:r>
          <w:rPr>
            <w:rStyle w:val="Hyperlink"/>
          </w:rPr>
          <w:t xml:space="preserve">https://doi.org/10.1037/0033-295X.99.1.22</w:t>
        </w:r>
      </w:hyperlink>
    </w:p>
    <w:bookmarkEnd w:id="309"/>
    <w:bookmarkStart w:id="311" w:name="ref-lambertsFlexibleTuningSimilarity1994"/>
    <w:p>
      <w:pPr>
        <w:pStyle w:val="Bibliography"/>
      </w:pPr>
      <w:r>
        <w:t xml:space="preserve">Lamberts, K. (1994). Flexible</w:t>
      </w:r>
      <w:r>
        <w:t xml:space="preserve"> </w:t>
      </w:r>
      <w:r>
        <w:t xml:space="preserve">Tuning</w:t>
      </w:r>
      <w:r>
        <w:t xml:space="preserve"> </w:t>
      </w:r>
      <w:r>
        <w:t xml:space="preserve">of</w:t>
      </w:r>
      <w:r>
        <w:t xml:space="preserve"> </w:t>
      </w:r>
      <w:r>
        <w:t xml:space="preserve">Similarity</w:t>
      </w:r>
      <w:r>
        <w:t xml:space="preserve"> </w:t>
      </w:r>
      <w:r>
        <w:t xml:space="preserve">in</w:t>
      </w:r>
      <w:r>
        <w:t xml:space="preserve"> </w:t>
      </w:r>
      <w:r>
        <w:t xml:space="preserve">Exemplar-Based Categorization</w:t>
      </w:r>
      <w:r>
        <w:t xml:space="preserve">.</w:t>
      </w:r>
      <w:r>
        <w:t xml:space="preserve"> </w:t>
      </w:r>
      <w:r>
        <w:rPr>
          <w:iCs/>
          <w:i/>
        </w:rPr>
        <w:t xml:space="preserve">Journal of Experimental Psychology: Learning, Memory, and Cognition</w:t>
      </w:r>
      <w:r>
        <w:t xml:space="preserve">,</w:t>
      </w:r>
      <w:r>
        <w:t xml:space="preserve"> </w:t>
      </w:r>
      <w:r>
        <w:rPr>
          <w:iCs/>
          <w:i/>
        </w:rPr>
        <w:t xml:space="preserve">20</w:t>
      </w:r>
      <w:r>
        <w:t xml:space="preserve">(5), 1003–1021.</w:t>
      </w:r>
      <w:r>
        <w:t xml:space="preserve"> </w:t>
      </w:r>
      <w:hyperlink r:id="rId310">
        <w:r>
          <w:rPr>
            <w:rStyle w:val="Hyperlink"/>
          </w:rPr>
          <w:t xml:space="preserve">https://doi.org/10.1037/0278-7393.20.5.1003</w:t>
        </w:r>
      </w:hyperlink>
    </w:p>
    <w:bookmarkEnd w:id="311"/>
    <w:bookmarkStart w:id="313" w:name="ref-landinComparisonThreePractice1997"/>
    <w:p>
      <w:pPr>
        <w:pStyle w:val="Bibliography"/>
      </w:pPr>
      <w:r>
        <w:t xml:space="preserve">Landin, D., &amp; Hebert, E. P. (1997). A</w:t>
      </w:r>
      <w:r>
        <w:t xml:space="preserve"> </w:t>
      </w:r>
      <w:r>
        <w:t xml:space="preserve">Comparison</w:t>
      </w:r>
      <w:r>
        <w:t xml:space="preserve"> </w:t>
      </w:r>
      <w:r>
        <w:t xml:space="preserve">of</w:t>
      </w:r>
      <w:r>
        <w:t xml:space="preserve"> </w:t>
      </w:r>
      <w:r>
        <w:t xml:space="preserve">Three Practice Schedules</w:t>
      </w:r>
      <w:r>
        <w:t xml:space="preserve"> </w:t>
      </w:r>
      <w:r>
        <w:t xml:space="preserve">along the</w:t>
      </w:r>
      <w:r>
        <w:t xml:space="preserve"> </w:t>
      </w:r>
      <w:r>
        <w:t xml:space="preserve">Contextual Interference Continuum</w:t>
      </w:r>
      <w:r>
        <w:t xml:space="preserve">.</w:t>
      </w:r>
      <w:r>
        <w:t xml:space="preserve"> </w:t>
      </w:r>
      <w:r>
        <w:rPr>
          <w:iCs/>
          <w:i/>
        </w:rPr>
        <w:t xml:space="preserve">Research Quarterly for Exercise and Sport</w:t>
      </w:r>
      <w:r>
        <w:t xml:space="preserve">,</w:t>
      </w:r>
      <w:r>
        <w:t xml:space="preserve"> </w:t>
      </w:r>
      <w:r>
        <w:rPr>
          <w:iCs/>
          <w:i/>
        </w:rPr>
        <w:t xml:space="preserve">68</w:t>
      </w:r>
      <w:r>
        <w:t xml:space="preserve">(4), 357–361.</w:t>
      </w:r>
      <w:r>
        <w:t xml:space="preserve"> </w:t>
      </w:r>
      <w:hyperlink r:id="rId312">
        <w:r>
          <w:rPr>
            <w:rStyle w:val="Hyperlink"/>
          </w:rPr>
          <w:t xml:space="preserve">https://doi.org/10.1080/02701367.1997.10608017</w:t>
        </w:r>
      </w:hyperlink>
    </w:p>
    <w:bookmarkEnd w:id="313"/>
    <w:bookmarkStart w:id="315" w:name="ref-lavanEffectsHighVariability2019"/>
    <w:p>
      <w:pPr>
        <w:pStyle w:val="Bibliography"/>
      </w:pPr>
      <w:r>
        <w:t xml:space="preserve">Lavan, N., Knight, S., Hazan, V., &amp; McGettigan, C. (2019). The effects of high variability training on voice identity learning.</w:t>
      </w:r>
      <w:r>
        <w:t xml:space="preserve"> </w:t>
      </w:r>
      <w:r>
        <w:rPr>
          <w:iCs/>
          <w:i/>
        </w:rPr>
        <w:t xml:space="preserve">Cognition</w:t>
      </w:r>
      <w:r>
        <w:t xml:space="preserve">,</w:t>
      </w:r>
      <w:r>
        <w:t xml:space="preserve"> </w:t>
      </w:r>
      <w:r>
        <w:rPr>
          <w:iCs/>
          <w:i/>
        </w:rPr>
        <w:t xml:space="preserve">193</w:t>
      </w:r>
      <w:r>
        <w:t xml:space="preserve">, 104026.</w:t>
      </w:r>
      <w:r>
        <w:t xml:space="preserve"> </w:t>
      </w:r>
      <w:hyperlink r:id="rId314">
        <w:r>
          <w:rPr>
            <w:rStyle w:val="Hyperlink"/>
          </w:rPr>
          <w:t xml:space="preserve">https://doi.org/10.1016/j.cognition.2019.104026</w:t>
        </w:r>
      </w:hyperlink>
    </w:p>
    <w:bookmarkEnd w:id="315"/>
    <w:bookmarkStart w:id="317" w:name="ref-lawSharedMechanismsPerceptual2010"/>
    <w:p>
      <w:pPr>
        <w:pStyle w:val="Bibliography"/>
      </w:pPr>
      <w:r>
        <w:t xml:space="preserve">Law, C.-T., &amp; Gold, J. I. (2010). Shared</w:t>
      </w:r>
      <w:r>
        <w:t xml:space="preserve"> </w:t>
      </w:r>
      <w:r>
        <w:t xml:space="preserve">Mechanisms</w:t>
      </w:r>
      <w:r>
        <w:t xml:space="preserve"> </w:t>
      </w:r>
      <w:r>
        <w:t xml:space="preserve">of</w:t>
      </w:r>
      <w:r>
        <w:t xml:space="preserve"> </w:t>
      </w:r>
      <w:r>
        <w:t xml:space="preserve">Perceptual Learning</w:t>
      </w:r>
      <w:r>
        <w:t xml:space="preserve"> </w:t>
      </w:r>
      <w:r>
        <w:t xml:space="preserve">and</w:t>
      </w:r>
      <w:r>
        <w:t xml:space="preserve"> </w:t>
      </w:r>
      <w:r>
        <w:t xml:space="preserve">Decision Making</w:t>
      </w:r>
      <w:r>
        <w:t xml:space="preserve">.</w:t>
      </w:r>
      <w:r>
        <w:t xml:space="preserve"> </w:t>
      </w:r>
      <w:r>
        <w:rPr>
          <w:iCs/>
          <w:i/>
        </w:rPr>
        <w:t xml:space="preserve">Topics in Cognitive Science</w:t>
      </w:r>
      <w:r>
        <w:t xml:space="preserve">,</w:t>
      </w:r>
      <w:r>
        <w:t xml:space="preserve"> </w:t>
      </w:r>
      <w:r>
        <w:rPr>
          <w:iCs/>
          <w:i/>
        </w:rPr>
        <w:t xml:space="preserve">2</w:t>
      </w:r>
      <w:r>
        <w:t xml:space="preserve">(2), 226–238.</w:t>
      </w:r>
      <w:r>
        <w:t xml:space="preserve"> </w:t>
      </w:r>
      <w:hyperlink r:id="rId316">
        <w:r>
          <w:rPr>
            <w:rStyle w:val="Hyperlink"/>
          </w:rPr>
          <w:t xml:space="preserve">https://doi.org/10.1111/j.1756-8765.2009.01044.x</w:t>
        </w:r>
      </w:hyperlink>
    </w:p>
    <w:bookmarkEnd w:id="317"/>
    <w:bookmarkStart w:id="319" w:name="ref-leeEvidentialDiversityIncreases2019"/>
    <w:p>
      <w:pPr>
        <w:pStyle w:val="Bibliography"/>
      </w:pPr>
      <w:r>
        <w:t xml:space="preserve">Lee, J. C., Lovibond, P. F., &amp; Hayes, B. K. (2019). Evidential diversity increases generalisation in predictive learning.</w:t>
      </w:r>
      <w:r>
        <w:t xml:space="preserve"> </w:t>
      </w:r>
      <w:r>
        <w:rPr>
          <w:iCs/>
          <w:i/>
        </w:rPr>
        <w:t xml:space="preserve">Quarterly Journal of Experimental Psychology</w:t>
      </w:r>
      <w:r>
        <w:t xml:space="preserve">,</w:t>
      </w:r>
      <w:r>
        <w:t xml:space="preserve"> </w:t>
      </w:r>
      <w:r>
        <w:rPr>
          <w:iCs/>
          <w:i/>
        </w:rPr>
        <w:t xml:space="preserve">72</w:t>
      </w:r>
      <w:r>
        <w:t xml:space="preserve">(11), 2647–2657.</w:t>
      </w:r>
      <w:r>
        <w:t xml:space="preserve"> </w:t>
      </w:r>
      <w:hyperlink r:id="rId318">
        <w:r>
          <w:rPr>
            <w:rStyle w:val="Hyperlink"/>
          </w:rPr>
          <w:t xml:space="preserve">https://doi.org/10.1177/1747021819857065</w:t>
        </w:r>
      </w:hyperlink>
    </w:p>
    <w:bookmarkEnd w:id="319"/>
    <w:bookmarkStart w:id="320" w:name="ref-leeLocusContextualInterference"/>
    <w:p>
      <w:pPr>
        <w:pStyle w:val="Bibliography"/>
      </w:pPr>
      <w:r>
        <w:t xml:space="preserve">Lee, T. D., &amp; Magill, R. A. (n.d.).</w:t>
      </w:r>
      <w:r>
        <w:t xml:space="preserve"> </w:t>
      </w:r>
      <w:r>
        <w:rPr>
          <w:iCs/>
          <w:i/>
        </w:rPr>
        <w:t xml:space="preserve">The</w:t>
      </w:r>
      <w:r>
        <w:rPr>
          <w:iCs/>
          <w:i/>
        </w:rPr>
        <w:t xml:space="preserve"> </w:t>
      </w:r>
      <w:r>
        <w:rPr>
          <w:iCs/>
          <w:i/>
        </w:rPr>
        <w:t xml:space="preserve">Locus</w:t>
      </w:r>
      <w:r>
        <w:rPr>
          <w:iCs/>
          <w:i/>
        </w:rPr>
        <w:t xml:space="preserve"> </w:t>
      </w:r>
      <w:r>
        <w:rPr>
          <w:iCs/>
          <w:i/>
        </w:rPr>
        <w:t xml:space="preserve">of</w:t>
      </w:r>
      <w:r>
        <w:rPr>
          <w:iCs/>
          <w:i/>
        </w:rPr>
        <w:t xml:space="preserve"> </w:t>
      </w:r>
      <w:r>
        <w:rPr>
          <w:iCs/>
          <w:i/>
        </w:rPr>
        <w:t xml:space="preserve">Contextual Interference</w:t>
      </w:r>
      <w:r>
        <w:rPr>
          <w:iCs/>
          <w:i/>
        </w:rPr>
        <w:t xml:space="preserve"> </w:t>
      </w:r>
      <w:r>
        <w:rPr>
          <w:iCs/>
          <w:i/>
        </w:rPr>
        <w:t xml:space="preserve">in</w:t>
      </w:r>
      <w:r>
        <w:rPr>
          <w:iCs/>
          <w:i/>
        </w:rPr>
        <w:t xml:space="preserve"> </w:t>
      </w:r>
      <w:r>
        <w:rPr>
          <w:iCs/>
          <w:i/>
        </w:rPr>
        <w:t xml:space="preserve">Motor-Skill Acquisition</w:t>
      </w:r>
      <w:r>
        <w:t xml:space="preserve">. 17.</w:t>
      </w:r>
    </w:p>
    <w:bookmarkEnd w:id="320"/>
    <w:bookmarkStart w:id="322" w:name="ref-leeInfluencePracticeSchedule1985"/>
    <w:p>
      <w:pPr>
        <w:pStyle w:val="Bibliography"/>
      </w:pPr>
      <w:r>
        <w:t xml:space="preserve">Lee, T. D., Magill, R. A., &amp; Weeks, D. J. (1985). Influence of</w:t>
      </w:r>
      <w:r>
        <w:t xml:space="preserve"> </w:t>
      </w:r>
      <w:r>
        <w:t xml:space="preserve">Practice Schedule</w:t>
      </w:r>
      <w:r>
        <w:t xml:space="preserve"> </w:t>
      </w:r>
      <w:r>
        <w:t xml:space="preserve">on</w:t>
      </w:r>
      <w:r>
        <w:t xml:space="preserve"> </w:t>
      </w:r>
      <w:r>
        <w:t xml:space="preserve">Testing Schema Theory Predictions</w:t>
      </w:r>
      <w:r>
        <w:t xml:space="preserve"> </w:t>
      </w:r>
      <w:r>
        <w:t xml:space="preserve">in</w:t>
      </w:r>
      <w:r>
        <w:t xml:space="preserve"> </w:t>
      </w:r>
      <w:r>
        <w:t xml:space="preserve">Adults</w:t>
      </w:r>
      <w:r>
        <w:t xml:space="preserve">.</w:t>
      </w:r>
      <w:r>
        <w:t xml:space="preserve"> </w:t>
      </w:r>
      <w:r>
        <w:rPr>
          <w:iCs/>
          <w:i/>
        </w:rPr>
        <w:t xml:space="preserve">Journal of Motor Behavior</w:t>
      </w:r>
      <w:r>
        <w:t xml:space="preserve">,</w:t>
      </w:r>
      <w:r>
        <w:t xml:space="preserve"> </w:t>
      </w:r>
      <w:r>
        <w:rPr>
          <w:iCs/>
          <w:i/>
        </w:rPr>
        <w:t xml:space="preserve">17</w:t>
      </w:r>
      <w:r>
        <w:t xml:space="preserve">(3), 283–299.</w:t>
      </w:r>
      <w:r>
        <w:t xml:space="preserve"> </w:t>
      </w:r>
      <w:hyperlink r:id="rId321">
        <w:r>
          <w:rPr>
            <w:rStyle w:val="Hyperlink"/>
          </w:rPr>
          <w:t xml:space="preserve">https://doi.org/10.1080/00222895.1985.10735350</w:t>
        </w:r>
      </w:hyperlink>
    </w:p>
    <w:bookmarkEnd w:id="322"/>
    <w:bookmarkStart w:id="324" w:name="X57395495d5c23810e5964fa53422f800454b375"/>
    <w:p>
      <w:pPr>
        <w:pStyle w:val="Bibliography"/>
      </w:pPr>
      <w:r>
        <w:t xml:space="preserve">Logan, G. D. (1988). Toward an instance theory of automatization.</w:t>
      </w:r>
      <w:r>
        <w:t xml:space="preserve"> </w:t>
      </w:r>
      <w:r>
        <w:rPr>
          <w:iCs/>
          <w:i/>
        </w:rPr>
        <w:t xml:space="preserve">Psychological Review</w:t>
      </w:r>
      <w:r>
        <w:t xml:space="preserve">,</w:t>
      </w:r>
      <w:r>
        <w:t xml:space="preserve"> </w:t>
      </w:r>
      <w:r>
        <w:rPr>
          <w:iCs/>
          <w:i/>
        </w:rPr>
        <w:t xml:space="preserve">95</w:t>
      </w:r>
      <w:r>
        <w:t xml:space="preserve">(4), 492–527.</w:t>
      </w:r>
      <w:r>
        <w:t xml:space="preserve"> </w:t>
      </w:r>
      <w:hyperlink r:id="rId323">
        <w:r>
          <w:rPr>
            <w:rStyle w:val="Hyperlink"/>
          </w:rPr>
          <w:t xml:space="preserve">https://doi.org/10.1037/0033-295X.95.4.492</w:t>
        </w:r>
      </w:hyperlink>
    </w:p>
    <w:bookmarkEnd w:id="324"/>
    <w:bookmarkStart w:id="326" w:name="ref-loganInstanceTheoryAttention2002a"/>
    <w:p>
      <w:pPr>
        <w:pStyle w:val="Bibliography"/>
      </w:pPr>
      <w:r>
        <w:t xml:space="preserve">Logan, G. D. (2002). An instance theory of attention and memory.</w:t>
      </w:r>
      <w:r>
        <w:t xml:space="preserve"> </w:t>
      </w:r>
      <w:r>
        <w:rPr>
          <w:iCs/>
          <w:i/>
        </w:rPr>
        <w:t xml:space="preserve">Psychological Review</w:t>
      </w:r>
      <w:r>
        <w:t xml:space="preserve">,</w:t>
      </w:r>
      <w:r>
        <w:t xml:space="preserve"> </w:t>
      </w:r>
      <w:r>
        <w:rPr>
          <w:iCs/>
          <w:i/>
        </w:rPr>
        <w:t xml:space="preserve">109</w:t>
      </w:r>
      <w:r>
        <w:t xml:space="preserve">(2), 376–400.</w:t>
      </w:r>
      <w:r>
        <w:t xml:space="preserve"> </w:t>
      </w:r>
      <w:hyperlink r:id="rId325">
        <w:r>
          <w:rPr>
            <w:rStyle w:val="Hyperlink"/>
          </w:rPr>
          <w:t xml:space="preserve">https://doi.org/10.1037/0033-295X.109.2.376</w:t>
        </w:r>
      </w:hyperlink>
    </w:p>
    <w:bookmarkEnd w:id="326"/>
    <w:bookmarkStart w:id="328" w:name="ref-maddoxStimulusRangeDiscontinuity2011"/>
    <w:p>
      <w:pPr>
        <w:pStyle w:val="Bibliography"/>
      </w:pPr>
      <w:r>
        <w:t xml:space="preserve">Maddox, W. T., &amp; Filoteo, J. V. (2011). Stimulus range and discontinuity effects on information-integration category learning and generalization.</w:t>
      </w:r>
      <w:r>
        <w:t xml:space="preserve"> </w:t>
      </w:r>
      <w:r>
        <w:rPr>
          <w:iCs/>
          <w:i/>
        </w:rPr>
        <w:t xml:space="preserve">Attention, Perception, &amp; Psychophysics</w:t>
      </w:r>
      <w:r>
        <w:t xml:space="preserve">,</w:t>
      </w:r>
      <w:r>
        <w:t xml:space="preserve"> </w:t>
      </w:r>
      <w:r>
        <w:rPr>
          <w:iCs/>
          <w:i/>
        </w:rPr>
        <w:t xml:space="preserve">73</w:t>
      </w:r>
      <w:r>
        <w:t xml:space="preserve">(4), 1279–1295.</w:t>
      </w:r>
      <w:r>
        <w:t xml:space="preserve"> </w:t>
      </w:r>
      <w:hyperlink r:id="rId327">
        <w:r>
          <w:rPr>
            <w:rStyle w:val="Hyperlink"/>
          </w:rPr>
          <w:t xml:space="preserve">https://doi.org/10.3758/s13414-011-0101-2</w:t>
        </w:r>
      </w:hyperlink>
    </w:p>
    <w:bookmarkEnd w:id="328"/>
    <w:bookmarkStart w:id="330" w:name="X034109ad4eb02be7a6467e1e074292ceb627b90"/>
    <w:p>
      <w:pPr>
        <w:pStyle w:val="Bibliography"/>
      </w:pPr>
      <w:r>
        <w:t xml:space="preserve">Magill, R. A., &amp; Hall, K. G. (1990). A review of the contextual interference effect in motor skill acquisition.</w:t>
      </w:r>
      <w:r>
        <w:t xml:space="preserve"> </w:t>
      </w:r>
      <w:r>
        <w:rPr>
          <w:iCs/>
          <w:i/>
        </w:rPr>
        <w:t xml:space="preserve">Human Movement Science</w:t>
      </w:r>
      <w:r>
        <w:t xml:space="preserve">,</w:t>
      </w:r>
      <w:r>
        <w:t xml:space="preserve"> </w:t>
      </w:r>
      <w:r>
        <w:rPr>
          <w:iCs/>
          <w:i/>
        </w:rPr>
        <w:t xml:space="preserve">9</w:t>
      </w:r>
      <w:r>
        <w:t xml:space="preserve">(3-5), 241–289.</w:t>
      </w:r>
      <w:r>
        <w:t xml:space="preserve"> </w:t>
      </w:r>
      <w:hyperlink r:id="rId329">
        <w:r>
          <w:rPr>
            <w:rStyle w:val="Hyperlink"/>
          </w:rPr>
          <w:t xml:space="preserve">https://doi.org/10.1016/0167-9457(90)90005-X</w:t>
        </w:r>
      </w:hyperlink>
    </w:p>
    <w:bookmarkEnd w:id="330"/>
    <w:bookmarkStart w:id="332" w:name="X11a702c183fe711be8f27283712c55ac310fdf4"/>
    <w:p>
      <w:pPr>
        <w:pStyle w:val="Bibliography"/>
      </w:pPr>
      <w:r>
        <w:t xml:space="preserve">Makowski, D., Ben-Shachar, M. S., &amp; Lüdecke, D. (2019).</w:t>
      </w:r>
      <w:r>
        <w:t xml:space="preserve"> </w:t>
      </w:r>
      <w:r>
        <w:t xml:space="preserve">bayestestR</w:t>
      </w:r>
      <w:r>
        <w:t xml:space="preserve">:</w:t>
      </w:r>
      <w:r>
        <w:t xml:space="preserve"> </w:t>
      </w:r>
      <w:r>
        <w:t xml:space="preserve">Describing Effects</w:t>
      </w:r>
      <w:r>
        <w:t xml:space="preserve"> </w:t>
      </w:r>
      <w:r>
        <w:t xml:space="preserve">and their</w:t>
      </w:r>
      <w:r>
        <w:t xml:space="preserve"> </w:t>
      </w:r>
      <w:r>
        <w:t xml:space="preserve">Uncertainty</w:t>
      </w:r>
      <w:r>
        <w:t xml:space="preserve">,</w:t>
      </w:r>
      <w:r>
        <w:t xml:space="preserve"> </w:t>
      </w:r>
      <w:r>
        <w:t xml:space="preserve">Existence</w:t>
      </w:r>
      <w:r>
        <w:t xml:space="preserve"> </w:t>
      </w:r>
      <w:r>
        <w:t xml:space="preserve">and</w:t>
      </w:r>
      <w:r>
        <w:t xml:space="preserve"> </w:t>
      </w:r>
      <w:r>
        <w:t xml:space="preserve">Significance</w:t>
      </w:r>
      <w:r>
        <w:t xml:space="preserve"> </w:t>
      </w:r>
      <w:r>
        <w:t xml:space="preserve">within the</w:t>
      </w:r>
      <w:r>
        <w:t xml:space="preserve"> </w:t>
      </w:r>
      <w:r>
        <w:t xml:space="preserve">Bayesian Framework</w:t>
      </w:r>
      <w:r>
        <w:t xml:space="preserve">.</w:t>
      </w:r>
      <w:r>
        <w:t xml:space="preserve"> </w:t>
      </w:r>
      <w:r>
        <w:rPr>
          <w:iCs/>
          <w:i/>
        </w:rPr>
        <w:t xml:space="preserve">Journal of Open Source Software</w:t>
      </w:r>
      <w:r>
        <w:t xml:space="preserve">,</w:t>
      </w:r>
      <w:r>
        <w:t xml:space="preserve"> </w:t>
      </w:r>
      <w:r>
        <w:rPr>
          <w:iCs/>
          <w:i/>
        </w:rPr>
        <w:t xml:space="preserve">4</w:t>
      </w:r>
      <w:r>
        <w:t xml:space="preserve">(40), 1541.</w:t>
      </w:r>
      <w:r>
        <w:t xml:space="preserve"> </w:t>
      </w:r>
      <w:hyperlink r:id="rId331">
        <w:r>
          <w:rPr>
            <w:rStyle w:val="Hyperlink"/>
          </w:rPr>
          <w:t xml:space="preserve">https://doi.org/10.21105/joss.01541</w:t>
        </w:r>
      </w:hyperlink>
    </w:p>
    <w:bookmarkEnd w:id="332"/>
    <w:bookmarkStart w:id="334" w:name="Xadd5c50f43736f9b0dff0650df994aba8142088"/>
    <w:p>
      <w:pPr>
        <w:pStyle w:val="Bibliography"/>
      </w:pPr>
      <w:r>
        <w:t xml:space="preserve">Marongelli, E., &amp; Thoroughman, K. (2013). The advantage of flexible neuronal tunings in neural network models for motor learning.</w:t>
      </w:r>
      <w:r>
        <w:t xml:space="preserve"> </w:t>
      </w:r>
      <w:r>
        <w:rPr>
          <w:iCs/>
          <w:i/>
        </w:rPr>
        <w:t xml:space="preserve">Frontiers in Computational Neuroscience</w:t>
      </w:r>
      <w:r>
        <w:t xml:space="preserve">,</w:t>
      </w:r>
      <w:r>
        <w:t xml:space="preserve"> </w:t>
      </w:r>
      <w:r>
        <w:rPr>
          <w:iCs/>
          <w:i/>
        </w:rPr>
        <w:t xml:space="preserve">7</w:t>
      </w:r>
      <w:r>
        <w:t xml:space="preserve">, 100.</w:t>
      </w:r>
      <w:r>
        <w:t xml:space="preserve"> </w:t>
      </w:r>
      <w:hyperlink r:id="rId333">
        <w:r>
          <w:rPr>
            <w:rStyle w:val="Hyperlink"/>
          </w:rPr>
          <w:t xml:space="preserve">https://doi.org/10.3389/fncom.2013.00100</w:t>
        </w:r>
      </w:hyperlink>
    </w:p>
    <w:bookmarkEnd w:id="334"/>
    <w:bookmarkStart w:id="336" w:name="ref-mccrackenTestSchemaTheory1977"/>
    <w:p>
      <w:pPr>
        <w:pStyle w:val="Bibliography"/>
      </w:pPr>
      <w:r>
        <w:t xml:space="preserve">McCracken, H. D., &amp; Stelmach, G. E. (1977). A</w:t>
      </w:r>
      <w:r>
        <w:t xml:space="preserve"> </w:t>
      </w:r>
      <w:r>
        <w:t xml:space="preserve">Test</w:t>
      </w:r>
      <w:r>
        <w:t xml:space="preserve"> </w:t>
      </w:r>
      <w:r>
        <w:t xml:space="preserve">of the</w:t>
      </w:r>
      <w:r>
        <w:t xml:space="preserve"> </w:t>
      </w:r>
      <w:r>
        <w:t xml:space="preserve">Schema Theory</w:t>
      </w:r>
      <w:r>
        <w:t xml:space="preserve"> </w:t>
      </w:r>
      <w:r>
        <w:t xml:space="preserve">of</w:t>
      </w:r>
      <w:r>
        <w:t xml:space="preserve"> </w:t>
      </w:r>
      <w:r>
        <w:t xml:space="preserve">Discrete Motor Learning</w:t>
      </w:r>
      <w:r>
        <w:t xml:space="preserve">.</w:t>
      </w:r>
      <w:r>
        <w:t xml:space="preserve"> </w:t>
      </w:r>
      <w:r>
        <w:rPr>
          <w:iCs/>
          <w:i/>
        </w:rPr>
        <w:t xml:space="preserve">Journal of Motor Behavior</w:t>
      </w:r>
      <w:r>
        <w:t xml:space="preserve">,</w:t>
      </w:r>
      <w:r>
        <w:t xml:space="preserve"> </w:t>
      </w:r>
      <w:r>
        <w:rPr>
          <w:iCs/>
          <w:i/>
        </w:rPr>
        <w:t xml:space="preserve">9</w:t>
      </w:r>
      <w:r>
        <w:t xml:space="preserve">(3), 193–201.</w:t>
      </w:r>
      <w:r>
        <w:t xml:space="preserve"> </w:t>
      </w:r>
      <w:hyperlink r:id="rId335">
        <w:r>
          <w:rPr>
            <w:rStyle w:val="Hyperlink"/>
          </w:rPr>
          <w:t xml:space="preserve">https://doi.org/10.1080/00222895.1977.10735109</w:t>
        </w:r>
      </w:hyperlink>
    </w:p>
    <w:bookmarkEnd w:id="336"/>
    <w:bookmarkStart w:id="338" w:name="X11f5d5b369bd61c109baf65d1e55e39f773ac1b"/>
    <w:p>
      <w:pPr>
        <w:pStyle w:val="Bibliography"/>
      </w:pPr>
      <w:r>
        <w:t xml:space="preserve">Mcdaniel, M. A., Dimperio, E., Griego, J. A., &amp; Busemeyer, J. R. (2009). Predicting transfer performance:</w:t>
      </w:r>
      <w:r>
        <w:t xml:space="preserve"> </w:t>
      </w:r>
      <w:r>
        <w:t xml:space="preserve">A</w:t>
      </w:r>
      <w:r>
        <w:t xml:space="preserve"> </w:t>
      </w:r>
      <w:r>
        <w:t xml:space="preserve">comparison of competing function learning models.</w:t>
      </w:r>
      <w:r>
        <w:t xml:space="preserve"> </w:t>
      </w:r>
      <w:r>
        <w:rPr>
          <w:iCs/>
          <w:i/>
        </w:rPr>
        <w:t xml:space="preserve">Journal of Experimental Psychology. Learning, Memory, and Cognition</w:t>
      </w:r>
      <w:r>
        <w:t xml:space="preserve">,</w:t>
      </w:r>
      <w:r>
        <w:t xml:space="preserve"> </w:t>
      </w:r>
      <w:r>
        <w:rPr>
          <w:iCs/>
          <w:i/>
        </w:rPr>
        <w:t xml:space="preserve">35</w:t>
      </w:r>
      <w:r>
        <w:t xml:space="preserve">, 173–195.</w:t>
      </w:r>
      <w:r>
        <w:t xml:space="preserve"> </w:t>
      </w:r>
      <w:hyperlink r:id="rId337">
        <w:r>
          <w:rPr>
            <w:rStyle w:val="Hyperlink"/>
          </w:rPr>
          <w:t xml:space="preserve">https://doi.org/10.1037/a0013982</w:t>
        </w:r>
      </w:hyperlink>
    </w:p>
    <w:bookmarkEnd w:id="338"/>
    <w:bookmarkStart w:id="340" w:name="ref-mcdanielEffectsSpacedMassed2013"/>
    <w:p>
      <w:pPr>
        <w:pStyle w:val="Bibliography"/>
      </w:pPr>
      <w:r>
        <w:t xml:space="preserve">McDaniel, M. A., Fadler, C. L., &amp; Pashler, H. (2013). Effects of spaced versus massed training in function learning.</w:t>
      </w:r>
      <w:r>
        <w:t xml:space="preserve"> </w:t>
      </w:r>
      <w:r>
        <w:rPr>
          <w:iCs/>
          <w:i/>
        </w:rPr>
        <w:t xml:space="preserve">Journal of Experimental Psychology: Learning, Memory, and Cognition</w:t>
      </w:r>
      <w:r>
        <w:t xml:space="preserve">,</w:t>
      </w:r>
      <w:r>
        <w:t xml:space="preserve"> </w:t>
      </w:r>
      <w:r>
        <w:rPr>
          <w:iCs/>
          <w:i/>
        </w:rPr>
        <w:t xml:space="preserve">39</w:t>
      </w:r>
      <w:r>
        <w:t xml:space="preserve">(5), 1417–1432.</w:t>
      </w:r>
      <w:r>
        <w:t xml:space="preserve"> </w:t>
      </w:r>
      <w:hyperlink r:id="rId339">
        <w:r>
          <w:rPr>
            <w:rStyle w:val="Hyperlink"/>
          </w:rPr>
          <w:t xml:space="preserve">https://doi.org/10.1037/a0032184</w:t>
        </w:r>
      </w:hyperlink>
    </w:p>
    <w:bookmarkEnd w:id="340"/>
    <w:bookmarkStart w:id="342" w:name="ref-medinContextTheoryClassification1978"/>
    <w:p>
      <w:pPr>
        <w:pStyle w:val="Bibliography"/>
      </w:pPr>
      <w:r>
        <w:t xml:space="preserve">Medin, D. L., &amp; Schaffer, M. M. (1978). Context</w:t>
      </w:r>
      <w:r>
        <w:t xml:space="preserve"> </w:t>
      </w:r>
      <w:r>
        <w:t xml:space="preserve">Theory</w:t>
      </w:r>
      <w:r>
        <w:t xml:space="preserve"> </w:t>
      </w:r>
      <w:r>
        <w:t xml:space="preserve">of</w:t>
      </w:r>
      <w:r>
        <w:t xml:space="preserve"> </w:t>
      </w:r>
      <w:r>
        <w:t xml:space="preserve">Classification Learning</w:t>
      </w:r>
      <w:r>
        <w:t xml:space="preserve">.</w:t>
      </w:r>
      <w:r>
        <w:t xml:space="preserve"> </w:t>
      </w:r>
      <w:r>
        <w:rPr>
          <w:iCs/>
          <w:i/>
        </w:rPr>
        <w:t xml:space="preserve">Psychological Review</w:t>
      </w:r>
      <w:r>
        <w:t xml:space="preserve">,</w:t>
      </w:r>
      <w:r>
        <w:t xml:space="preserve"> </w:t>
      </w:r>
      <w:r>
        <w:rPr>
          <w:iCs/>
          <w:i/>
        </w:rPr>
        <w:t xml:space="preserve">85</w:t>
      </w:r>
      <w:r>
        <w:t xml:space="preserve">(3), 207.</w:t>
      </w:r>
      <w:r>
        <w:t xml:space="preserve"> </w:t>
      </w:r>
      <w:hyperlink r:id="rId341">
        <w:r>
          <w:rPr>
            <w:rStyle w:val="Hyperlink"/>
          </w:rPr>
          <w:t xml:space="preserve">https://doi.org/10.1037/0033-295X.85.3.207</w:t>
        </w:r>
      </w:hyperlink>
    </w:p>
    <w:bookmarkEnd w:id="342"/>
    <w:bookmarkStart w:id="344" w:name="ref-meighWhatMemoryRepresentation2018"/>
    <w:p>
      <w:pPr>
        <w:pStyle w:val="Bibliography"/>
      </w:pPr>
      <w:r>
        <w:t xml:space="preserve">Meigh, K. M., Shaiman, S., Tompkins, C. A., Abbott, K. V., &amp; Nokes-Malach, T. (2018). What memory representation is acquired during nonword speech production learning?</w:t>
      </w:r>
      <w:r>
        <w:t xml:space="preserve"> </w:t>
      </w:r>
      <w:r>
        <w:t xml:space="preserve">The</w:t>
      </w:r>
      <w:r>
        <w:t xml:space="preserve"> </w:t>
      </w:r>
      <w:r>
        <w:t xml:space="preserve">influence of stimulus features and training modality on nonword encoding.</w:t>
      </w:r>
      <w:r>
        <w:t xml:space="preserve"> </w:t>
      </w:r>
      <w:r>
        <w:rPr>
          <w:iCs/>
          <w:i/>
        </w:rPr>
        <w:t xml:space="preserve">Cogent Psychology</w:t>
      </w:r>
      <w:r>
        <w:t xml:space="preserve">,</w:t>
      </w:r>
      <w:r>
        <w:t xml:space="preserve"> </w:t>
      </w:r>
      <w:r>
        <w:rPr>
          <w:iCs/>
          <w:i/>
        </w:rPr>
        <w:t xml:space="preserve">5</w:t>
      </w:r>
      <w:r>
        <w:t xml:space="preserve">(1), 1493714.</w:t>
      </w:r>
      <w:r>
        <w:t xml:space="preserve"> </w:t>
      </w:r>
      <w:hyperlink r:id="rId343">
        <w:r>
          <w:rPr>
            <w:rStyle w:val="Hyperlink"/>
          </w:rPr>
          <w:t xml:space="preserve">https://doi.org/10.1080/23311908.2018.1493714</w:t>
        </w:r>
      </w:hyperlink>
    </w:p>
    <w:bookmarkEnd w:id="344"/>
    <w:bookmarkStart w:id="346" w:name="ref-moxleySchemaVariabilityPractice1979"/>
    <w:p>
      <w:pPr>
        <w:pStyle w:val="Bibliography"/>
      </w:pPr>
      <w:r>
        <w:t xml:space="preserve">Moxley, S. E. (1979). Schema:</w:t>
      </w:r>
      <w:r>
        <w:t xml:space="preserve"> </w:t>
      </w:r>
      <w:r>
        <w:t xml:space="preserve">The Variability</w:t>
      </w:r>
      <w:r>
        <w:t xml:space="preserve"> </w:t>
      </w:r>
      <w:r>
        <w:t xml:space="preserve">of</w:t>
      </w:r>
      <w:r>
        <w:t xml:space="preserve"> </w:t>
      </w:r>
      <w:r>
        <w:t xml:space="preserve">Practice Hypothesis</w:t>
      </w:r>
      <w:r>
        <w:t xml:space="preserve">.</w:t>
      </w:r>
      <w:r>
        <w:t xml:space="preserve"> </w:t>
      </w:r>
      <w:r>
        <w:rPr>
          <w:iCs/>
          <w:i/>
        </w:rPr>
        <w:t xml:space="preserve">Journal of Motor Behavior</w:t>
      </w:r>
      <w:r>
        <w:t xml:space="preserve">,</w:t>
      </w:r>
      <w:r>
        <w:t xml:space="preserve"> </w:t>
      </w:r>
      <w:r>
        <w:rPr>
          <w:iCs/>
          <w:i/>
        </w:rPr>
        <w:t xml:space="preserve">11</w:t>
      </w:r>
      <w:r>
        <w:t xml:space="preserve">(1), 65–70.</w:t>
      </w:r>
      <w:r>
        <w:t xml:space="preserve"> </w:t>
      </w:r>
      <w:hyperlink r:id="rId345">
        <w:r>
          <w:rPr>
            <w:rStyle w:val="Hyperlink"/>
          </w:rPr>
          <w:t xml:space="preserve">https://doi.org/10.1080/00222895.1979.10735173</w:t>
        </w:r>
      </w:hyperlink>
    </w:p>
    <w:bookmarkEnd w:id="346"/>
    <w:bookmarkStart w:id="348" w:name="ref-newellSchemaTheory19752003"/>
    <w:p>
      <w:pPr>
        <w:pStyle w:val="Bibliography"/>
      </w:pPr>
      <w:r>
        <w:t xml:space="preserve">Newell, K. M. (2003). Schema</w:t>
      </w:r>
      <w:r>
        <w:t xml:space="preserve"> </w:t>
      </w:r>
      <w:r>
        <w:t xml:space="preserve">Theory</w:t>
      </w:r>
      <w:r>
        <w:t xml:space="preserve"> </w:t>
      </w:r>
      <w:r>
        <w:t xml:space="preserve">(1975):</w:t>
      </w:r>
      <w:r>
        <w:t xml:space="preserve"> </w:t>
      </w:r>
      <w:r>
        <w:t xml:space="preserve">Retrospectives</w:t>
      </w:r>
      <w:r>
        <w:t xml:space="preserve"> </w:t>
      </w:r>
      <w:r>
        <w:t xml:space="preserve">and</w:t>
      </w:r>
      <w:r>
        <w:t xml:space="preserve"> </w:t>
      </w:r>
      <w:r>
        <w:t xml:space="preserve">Prospectives</w:t>
      </w:r>
      <w:r>
        <w:t xml:space="preserve">.</w:t>
      </w:r>
      <w:r>
        <w:t xml:space="preserve"> </w:t>
      </w:r>
      <w:r>
        <w:rPr>
          <w:iCs/>
          <w:i/>
        </w:rPr>
        <w:t xml:space="preserve">Research Quarterly for Exercise and Sport</w:t>
      </w:r>
      <w:r>
        <w:t xml:space="preserve">,</w:t>
      </w:r>
      <w:r>
        <w:t xml:space="preserve"> </w:t>
      </w:r>
      <w:r>
        <w:rPr>
          <w:iCs/>
          <w:i/>
        </w:rPr>
        <w:t xml:space="preserve">74</w:t>
      </w:r>
      <w:r>
        <w:t xml:space="preserve">(4), 383–388.</w:t>
      </w:r>
      <w:r>
        <w:t xml:space="preserve"> </w:t>
      </w:r>
      <w:hyperlink r:id="rId347">
        <w:r>
          <w:rPr>
            <w:rStyle w:val="Hyperlink"/>
          </w:rPr>
          <w:t xml:space="preserve">https://doi.org/10.1080/02701367.2003.10609108</w:t>
        </w:r>
      </w:hyperlink>
    </w:p>
    <w:bookmarkEnd w:id="348"/>
    <w:bookmarkStart w:id="350" w:name="X7949f5876792781c015572639531a7aeb223f01"/>
    <w:p>
      <w:pPr>
        <w:pStyle w:val="Bibliography"/>
      </w:pPr>
      <w:r>
        <w:t xml:space="preserve">Newell, K. M., &amp; Shapiro, D. C. (1976). Variability of</w:t>
      </w:r>
      <w:r>
        <w:t xml:space="preserve"> </w:t>
      </w:r>
      <w:r>
        <w:t xml:space="preserve">Practice</w:t>
      </w:r>
      <w:r>
        <w:t xml:space="preserve"> </w:t>
      </w:r>
      <w:r>
        <w:t xml:space="preserve">and</w:t>
      </w:r>
      <w:r>
        <w:t xml:space="preserve"> </w:t>
      </w:r>
      <w:r>
        <w:t xml:space="preserve">Transfer</w:t>
      </w:r>
      <w:r>
        <w:t xml:space="preserve"> </w:t>
      </w:r>
      <w:r>
        <w:t xml:space="preserve">of</w:t>
      </w:r>
      <w:r>
        <w:t xml:space="preserve"> </w:t>
      </w:r>
      <w:r>
        <w:t xml:space="preserve">Training</w:t>
      </w:r>
      <w:r>
        <w:t xml:space="preserve">:</w:t>
      </w:r>
      <w:r>
        <w:t xml:space="preserve"> </w:t>
      </w:r>
      <w:r>
        <w:t xml:space="preserve">Some Evidence Toward</w:t>
      </w:r>
      <w:r>
        <w:t xml:space="preserve"> </w:t>
      </w:r>
      <w:r>
        <w:t xml:space="preserve">a</w:t>
      </w:r>
      <w:r>
        <w:t xml:space="preserve"> </w:t>
      </w:r>
      <w:r>
        <w:t xml:space="preserve">Schema View</w:t>
      </w:r>
      <w:r>
        <w:t xml:space="preserve"> </w:t>
      </w:r>
      <w:r>
        <w:t xml:space="preserve">of</w:t>
      </w:r>
      <w:r>
        <w:t xml:space="preserve"> </w:t>
      </w:r>
      <w:r>
        <w:t xml:space="preserve">Motor Learning</w:t>
      </w:r>
      <w:r>
        <w:t xml:space="preserve">.</w:t>
      </w:r>
      <w:r>
        <w:t xml:space="preserve"> </w:t>
      </w:r>
      <w:r>
        <w:rPr>
          <w:iCs/>
          <w:i/>
        </w:rPr>
        <w:t xml:space="preserve">Journal of Motor Behavior</w:t>
      </w:r>
      <w:r>
        <w:t xml:space="preserve">,</w:t>
      </w:r>
      <w:r>
        <w:t xml:space="preserve"> </w:t>
      </w:r>
      <w:r>
        <w:rPr>
          <w:iCs/>
          <w:i/>
        </w:rPr>
        <w:t xml:space="preserve">8</w:t>
      </w:r>
      <w:r>
        <w:t xml:space="preserve">(3), 233–243.</w:t>
      </w:r>
      <w:r>
        <w:t xml:space="preserve"> </w:t>
      </w:r>
      <w:hyperlink r:id="rId349">
        <w:r>
          <w:rPr>
            <w:rStyle w:val="Hyperlink"/>
          </w:rPr>
          <w:t xml:space="preserve">https://doi.org/10.1080/00222895.1976.10735077</w:t>
        </w:r>
      </w:hyperlink>
    </w:p>
    <w:bookmarkEnd w:id="350"/>
    <w:bookmarkStart w:id="352" w:name="ref-northEffectConsistentVaried2019"/>
    <w:p>
      <w:pPr>
        <w:pStyle w:val="Bibliography"/>
      </w:pPr>
      <w:r>
        <w:t xml:space="preserve">North, J. S., Bezodis, N. E., Murphy, C. P., Runswick, O. R., Pocock, C., &amp; Roca, A. (2019). The effect of consistent and varied follow-through practice schedules on learning a table tennis backhand.</w:t>
      </w:r>
      <w:r>
        <w:t xml:space="preserve"> </w:t>
      </w:r>
      <w:r>
        <w:rPr>
          <w:iCs/>
          <w:i/>
        </w:rPr>
        <w:t xml:space="preserve">Journal of Sports Sciences</w:t>
      </w:r>
      <w:r>
        <w:t xml:space="preserve">,</w:t>
      </w:r>
      <w:r>
        <w:t xml:space="preserve"> </w:t>
      </w:r>
      <w:r>
        <w:rPr>
          <w:iCs/>
          <w:i/>
        </w:rPr>
        <w:t xml:space="preserve">37</w:t>
      </w:r>
      <w:r>
        <w:t xml:space="preserve">(6), 613–620.</w:t>
      </w:r>
      <w:r>
        <w:t xml:space="preserve"> </w:t>
      </w:r>
      <w:hyperlink r:id="rId351">
        <w:r>
          <w:rPr>
            <w:rStyle w:val="Hyperlink"/>
          </w:rPr>
          <w:t xml:space="preserve">https://doi.org/10.1080/02640414.2018.1522683</w:t>
        </w:r>
      </w:hyperlink>
    </w:p>
    <w:bookmarkEnd w:id="352"/>
    <w:bookmarkStart w:id="354" w:name="X1e62d38316b1210cbf492429f3fa0f41029419a"/>
    <w:p>
      <w:pPr>
        <w:pStyle w:val="Bibliography"/>
      </w:pPr>
      <w:r>
        <w:t xml:space="preserve">Nosofsky, R. M. (1986). Attention, similarity, and the identification-categorization relationship.</w:t>
      </w:r>
      <w:r>
        <w:t xml:space="preserve"> </w:t>
      </w:r>
      <w:r>
        <w:rPr>
          <w:iCs/>
          <w:i/>
        </w:rPr>
        <w:t xml:space="preserve">Journal of Experimental Psychology: General</w:t>
      </w:r>
      <w:r>
        <w:t xml:space="preserve">,</w:t>
      </w:r>
      <w:r>
        <w:t xml:space="preserve"> </w:t>
      </w:r>
      <w:r>
        <w:rPr>
          <w:iCs/>
          <w:i/>
        </w:rPr>
        <w:t xml:space="preserve">115</w:t>
      </w:r>
      <w:r>
        <w:t xml:space="preserve">(1), 39–57.</w:t>
      </w:r>
      <w:r>
        <w:t xml:space="preserve"> </w:t>
      </w:r>
      <w:hyperlink r:id="rId353">
        <w:r>
          <w:rPr>
            <w:rStyle w:val="Hyperlink"/>
          </w:rPr>
          <w:t xml:space="preserve">https://doi.org/10.1037/0096-3445.115.1.39</w:t>
        </w:r>
      </w:hyperlink>
    </w:p>
    <w:bookmarkEnd w:id="354"/>
    <w:bookmarkStart w:id="356" w:name="X639a429f50283f5b36ce92c57a3abdf26659eda"/>
    <w:p>
      <w:pPr>
        <w:pStyle w:val="Bibliography"/>
      </w:pPr>
      <w:r>
        <w:t xml:space="preserve">Nosofsky, R. M. (1992). Similarity scaling and cognitive process models.</w:t>
      </w:r>
      <w:r>
        <w:t xml:space="preserve"> </w:t>
      </w:r>
      <w:r>
        <w:rPr>
          <w:iCs/>
          <w:i/>
        </w:rPr>
        <w:t xml:space="preserve">Annual Review of Psychology</w:t>
      </w:r>
      <w:r>
        <w:t xml:space="preserve">,</w:t>
      </w:r>
      <w:r>
        <w:t xml:space="preserve"> </w:t>
      </w:r>
      <w:r>
        <w:rPr>
          <w:iCs/>
          <w:i/>
        </w:rPr>
        <w:t xml:space="preserve">43</w:t>
      </w:r>
      <w:r>
        <w:t xml:space="preserve">(1), 25–53.</w:t>
      </w:r>
      <w:r>
        <w:t xml:space="preserve"> </w:t>
      </w:r>
      <w:hyperlink r:id="rId355">
        <w:r>
          <w:rPr>
            <w:rStyle w:val="Hyperlink"/>
          </w:rPr>
          <w:t xml:space="preserve">https://doi.org/10.1146/annurev.ps.43.020192.000325</w:t>
        </w:r>
      </w:hyperlink>
    </w:p>
    <w:bookmarkEnd w:id="356"/>
    <w:bookmarkStart w:id="358" w:name="Xb2e0c02fa97228815a5a3bbae8ffa9cce6c2184"/>
    <w:p>
      <w:pPr>
        <w:pStyle w:val="Bibliography"/>
      </w:pPr>
      <w:r>
        <w:t xml:space="preserve">Nosofsky, R. M., &amp; Johansen, M. K. (2000). Exemplar-based accounts of "multiple-system" phenomena in perceptual categorization.</w:t>
      </w:r>
      <w:r>
        <w:t xml:space="preserve"> </w:t>
      </w:r>
      <w:r>
        <w:rPr>
          <w:iCs/>
          <w:i/>
        </w:rPr>
        <w:t xml:space="preserve">Psychonomic Bulletin &amp; Review</w:t>
      </w:r>
      <w:r>
        <w:t xml:space="preserve">,</w:t>
      </w:r>
      <w:r>
        <w:t xml:space="preserve"> </w:t>
      </w:r>
      <w:r>
        <w:rPr>
          <w:iCs/>
          <w:i/>
        </w:rPr>
        <w:t xml:space="preserve">7</w:t>
      </w:r>
      <w:r>
        <w:t xml:space="preserve">(3), 375–402.</w:t>
      </w:r>
      <w:r>
        <w:t xml:space="preserve"> </w:t>
      </w:r>
      <w:hyperlink r:id="rId357">
        <w:r>
          <w:rPr>
            <w:rStyle w:val="Hyperlink"/>
          </w:rPr>
          <w:t xml:space="preserve">https://doi.org/10.1007/BF03543066</w:t>
        </w:r>
      </w:hyperlink>
    </w:p>
    <w:bookmarkEnd w:id="358"/>
    <w:bookmarkStart w:id="360" w:name="ref-nosofskyTestsExemplarmemoryModel2018"/>
    <w:p>
      <w:pPr>
        <w:pStyle w:val="Bibliography"/>
      </w:pPr>
      <w:r>
        <w:t xml:space="preserve">Nosofsky, R. M., Sanders, C. A., &amp; McDaniel, M. A. (2018). Tests of an exemplar-memory model of classification learning in a high-dimensional natural-science category domain.</w:t>
      </w:r>
      <w:r>
        <w:t xml:space="preserve"> </w:t>
      </w:r>
      <w:r>
        <w:rPr>
          <w:iCs/>
          <w:i/>
        </w:rPr>
        <w:t xml:space="preserve">Journal of Experimental Psychology: General</w:t>
      </w:r>
      <w:r>
        <w:t xml:space="preserve">,</w:t>
      </w:r>
      <w:r>
        <w:t xml:space="preserve"> </w:t>
      </w:r>
      <w:r>
        <w:rPr>
          <w:iCs/>
          <w:i/>
        </w:rPr>
        <w:t xml:space="preserve">147</w:t>
      </w:r>
      <w:r>
        <w:t xml:space="preserve">(3), 328–353.</w:t>
      </w:r>
      <w:r>
        <w:t xml:space="preserve"> </w:t>
      </w:r>
      <w:hyperlink r:id="rId359">
        <w:r>
          <w:rPr>
            <w:rStyle w:val="Hyperlink"/>
          </w:rPr>
          <w:t xml:space="preserve">https://doi.org/10.1037/xge0000369</w:t>
        </w:r>
      </w:hyperlink>
    </w:p>
    <w:bookmarkEnd w:id="360"/>
    <w:bookmarkStart w:id="362" w:name="ref-nosofskyModelguidedSearchOptimal2018"/>
    <w:p>
      <w:pPr>
        <w:pStyle w:val="Bibliography"/>
      </w:pPr>
      <w:r>
        <w:t xml:space="preserve">Nosofsky, R. M., Sanders, C. A., Zhu, X., &amp; McDaniel, M. A. (2018). Model-guided search for optimal natural-science-category training exemplars:</w:t>
      </w:r>
      <w:r>
        <w:t xml:space="preserve"> </w:t>
      </w:r>
      <w:r>
        <w:t xml:space="preserve">A</w:t>
      </w:r>
      <w:r>
        <w:t xml:space="preserve"> </w:t>
      </w:r>
      <w:r>
        <w:t xml:space="preserve">work in progress.</w:t>
      </w:r>
      <w:r>
        <w:t xml:space="preserve"> </w:t>
      </w:r>
      <w:r>
        <w:rPr>
          <w:iCs/>
          <w:i/>
        </w:rPr>
        <w:t xml:space="preserve">Psychonomic Bulletin &amp; Review</w:t>
      </w:r>
      <w:r>
        <w:t xml:space="preserve">,</w:t>
      </w:r>
      <w:r>
        <w:t xml:space="preserve"> </w:t>
      </w:r>
      <w:r>
        <w:rPr>
          <w:iCs/>
          <w:i/>
        </w:rPr>
        <w:t xml:space="preserve">26</w:t>
      </w:r>
      <w:r>
        <w:t xml:space="preserve">(1), 48–76.</w:t>
      </w:r>
      <w:r>
        <w:t xml:space="preserve"> </w:t>
      </w:r>
      <w:hyperlink r:id="rId361">
        <w:r>
          <w:rPr>
            <w:rStyle w:val="Hyperlink"/>
          </w:rPr>
          <w:t xml:space="preserve">https://doi.org/10.3758/s13423-018-1508-8</w:t>
        </w:r>
      </w:hyperlink>
    </w:p>
    <w:bookmarkEnd w:id="362"/>
    <w:bookmarkStart w:id="364" w:name="X2a10310e53443692f35f4450fe6537b1cff70f8"/>
    <w:p>
      <w:pPr>
        <w:pStyle w:val="Bibliography"/>
      </w:pPr>
      <w:r>
        <w:t xml:space="preserve">Op de Beeck, H. P., Wagemans, J., &amp; Vogels, R. (2008). The representation of perceived shape similarity and its role for category learning in monkeys:</w:t>
      </w:r>
      <w:r>
        <w:t xml:space="preserve"> </w:t>
      </w:r>
      <w:r>
        <w:t xml:space="preserve">A</w:t>
      </w:r>
      <w:r>
        <w:t xml:space="preserve"> </w:t>
      </w:r>
      <w:r>
        <w:t xml:space="preserve">modeling study.</w:t>
      </w:r>
      <w:r>
        <w:t xml:space="preserve"> </w:t>
      </w:r>
      <w:r>
        <w:rPr>
          <w:iCs/>
          <w:i/>
        </w:rPr>
        <w:t xml:space="preserve">Vision Research</w:t>
      </w:r>
      <w:r>
        <w:t xml:space="preserve">,</w:t>
      </w:r>
      <w:r>
        <w:t xml:space="preserve"> </w:t>
      </w:r>
      <w:r>
        <w:rPr>
          <w:iCs/>
          <w:i/>
        </w:rPr>
        <w:t xml:space="preserve">48</w:t>
      </w:r>
      <w:r>
        <w:t xml:space="preserve">(4), 598–610.</w:t>
      </w:r>
      <w:r>
        <w:t xml:space="preserve"> </w:t>
      </w:r>
      <w:hyperlink r:id="rId363">
        <w:r>
          <w:rPr>
            <w:rStyle w:val="Hyperlink"/>
          </w:rPr>
          <w:t xml:space="preserve">https://doi.org/10.1016/j.visres.2007.11.019</w:t>
        </w:r>
      </w:hyperlink>
    </w:p>
    <w:bookmarkEnd w:id="364"/>
    <w:bookmarkStart w:id="365" w:name="X94e3525b453aa845c6a29ac4dab4c88ebf8fedd"/>
    <w:p>
      <w:pPr>
        <w:pStyle w:val="Bibliography"/>
      </w:pPr>
      <w:r>
        <w:t xml:space="preserve">Palmeri, T. J. (1997). Exemplar</w:t>
      </w:r>
      <w:r>
        <w:t xml:space="preserve"> </w:t>
      </w:r>
      <w:r>
        <w:t xml:space="preserve">Similarity</w:t>
      </w:r>
      <w:r>
        <w:t xml:space="preserve"> </w:t>
      </w:r>
      <w:r>
        <w:t xml:space="preserve">and the</w:t>
      </w:r>
      <w:r>
        <w:t xml:space="preserve"> </w:t>
      </w:r>
      <w:r>
        <w:t xml:space="preserve">Development</w:t>
      </w:r>
      <w:r>
        <w:t xml:space="preserve"> </w:t>
      </w:r>
      <w:r>
        <w:t xml:space="preserve">of</w:t>
      </w:r>
      <w:r>
        <w:t xml:space="preserve"> </w:t>
      </w:r>
      <w:r>
        <w:t xml:space="preserve">Automaticity</w:t>
      </w:r>
      <w:r>
        <w:t xml:space="preserve">.</w:t>
      </w:r>
      <w:r>
        <w:t xml:space="preserve"> </w:t>
      </w:r>
      <w:r>
        <w:rPr>
          <w:iCs/>
          <w:i/>
        </w:rPr>
        <w:t xml:space="preserve">Journal of Experimental Psychology: Human Learning and Memory</w:t>
      </w:r>
      <w:r>
        <w:t xml:space="preserve">,</w:t>
      </w:r>
      <w:r>
        <w:t xml:space="preserve"> </w:t>
      </w:r>
      <w:r>
        <w:rPr>
          <w:iCs/>
          <w:i/>
        </w:rPr>
        <w:t xml:space="preserve">23</w:t>
      </w:r>
      <w:r>
        <w:t xml:space="preserve">(2), 324–354.</w:t>
      </w:r>
    </w:p>
    <w:bookmarkEnd w:id="365"/>
    <w:bookmarkStart w:id="367" w:name="ref-palmeriCentralTendenciesExtreme2001"/>
    <w:p>
      <w:pPr>
        <w:pStyle w:val="Bibliography"/>
      </w:pPr>
      <w:r>
        <w:t xml:space="preserve">Palmeri, T. J., &amp; Nosofsky, R. M. (2001). Central</w:t>
      </w:r>
      <w:r>
        <w:t xml:space="preserve"> </w:t>
      </w:r>
      <w:r>
        <w:t xml:space="preserve">Tendencies</w:t>
      </w:r>
      <w:r>
        <w:t xml:space="preserve">,</w:t>
      </w:r>
      <w:r>
        <w:t xml:space="preserve"> </w:t>
      </w:r>
      <w:r>
        <w:t xml:space="preserve">Extreme Points</w:t>
      </w:r>
      <w:r>
        <w:t xml:space="preserve">, and</w:t>
      </w:r>
      <w:r>
        <w:t xml:space="preserve"> </w:t>
      </w:r>
      <w:r>
        <w:t xml:space="preserve">Prototype Enhancement Effects</w:t>
      </w:r>
      <w:r>
        <w:t xml:space="preserve"> </w:t>
      </w:r>
      <w:r>
        <w:t xml:space="preserve">in</w:t>
      </w:r>
      <w:r>
        <w:t xml:space="preserve"> </w:t>
      </w:r>
      <w:r>
        <w:t xml:space="preserve">Ill-Defined Perceptual Categorization</w:t>
      </w:r>
      <w:r>
        <w:t xml:space="preserve">.</w:t>
      </w:r>
      <w:r>
        <w:t xml:space="preserve"> </w:t>
      </w:r>
      <w:r>
        <w:rPr>
          <w:iCs/>
          <w:i/>
        </w:rPr>
        <w:t xml:space="preserve">The Quarterly Journal of Experimental Psychology Section A</w:t>
      </w:r>
      <w:r>
        <w:t xml:space="preserve">,</w:t>
      </w:r>
      <w:r>
        <w:t xml:space="preserve"> </w:t>
      </w:r>
      <w:r>
        <w:rPr>
          <w:iCs/>
          <w:i/>
        </w:rPr>
        <w:t xml:space="preserve">54</w:t>
      </w:r>
      <w:r>
        <w:t xml:space="preserve">(1), 197–235.</w:t>
      </w:r>
      <w:r>
        <w:t xml:space="preserve"> </w:t>
      </w:r>
      <w:hyperlink r:id="rId366">
        <w:r>
          <w:rPr>
            <w:rStyle w:val="Hyperlink"/>
          </w:rPr>
          <w:t xml:space="preserve">https://doi.org/10.1080/02724980042000084</w:t>
        </w:r>
      </w:hyperlink>
    </w:p>
    <w:bookmarkEnd w:id="367"/>
    <w:bookmarkStart w:id="369" w:name="ref-perlmanFurtherAttemptsClarify2012"/>
    <w:p>
      <w:pPr>
        <w:pStyle w:val="Bibliography"/>
      </w:pPr>
      <w:r>
        <w:t xml:space="preserve">Perlman, A., Hahn, U., Edwards, D. J., &amp; Pothos, E. M. (2012). Further attempts to clarify the importance of category variability for categorisation.</w:t>
      </w:r>
      <w:r>
        <w:t xml:space="preserve"> </w:t>
      </w:r>
      <w:r>
        <w:rPr>
          <w:iCs/>
          <w:i/>
        </w:rPr>
        <w:t xml:space="preserve">Journal of Cognitive Psychology</w:t>
      </w:r>
      <w:r>
        <w:t xml:space="preserve">,</w:t>
      </w:r>
      <w:r>
        <w:t xml:space="preserve"> </w:t>
      </w:r>
      <w:r>
        <w:rPr>
          <w:iCs/>
          <w:i/>
        </w:rPr>
        <w:t xml:space="preserve">24</w:t>
      </w:r>
      <w:r>
        <w:t xml:space="preserve">(2), 203–220.</w:t>
      </w:r>
      <w:r>
        <w:t xml:space="preserve"> </w:t>
      </w:r>
      <w:hyperlink r:id="rId368">
        <w:r>
          <w:rPr>
            <w:rStyle w:val="Hyperlink"/>
          </w:rPr>
          <w:t xml:space="preserve">https://doi.org/10.1080/20445911.2011.613818</w:t>
        </w:r>
      </w:hyperlink>
    </w:p>
    <w:bookmarkEnd w:id="369"/>
    <w:bookmarkStart w:id="371" w:name="ref-perryLearnLocallyThink2010"/>
    <w:p>
      <w:pPr>
        <w:pStyle w:val="Bibliography"/>
      </w:pPr>
      <w:r>
        <w:t xml:space="preserve">Perry, L. K., Samuelson, L. K., Malloy, L. M., &amp; Schiffer, R. N. (2010). Learn</w:t>
      </w:r>
      <w:r>
        <w:t xml:space="preserve"> </w:t>
      </w:r>
      <w:r>
        <w:t xml:space="preserve">Locally</w:t>
      </w:r>
      <w:r>
        <w:t xml:space="preserve">,</w:t>
      </w:r>
      <w:r>
        <w:t xml:space="preserve"> </w:t>
      </w:r>
      <w:r>
        <w:t xml:space="preserve">Think Globally</w:t>
      </w:r>
      <w:r>
        <w:t xml:space="preserve">:</w:t>
      </w:r>
      <w:r>
        <w:t xml:space="preserve"> </w:t>
      </w:r>
      <w:r>
        <w:t xml:space="preserve">Exemplar Variability Supports Higher-Order Generalization</w:t>
      </w:r>
      <w:r>
        <w:t xml:space="preserve"> </w:t>
      </w:r>
      <w:r>
        <w:t xml:space="preserve">and</w:t>
      </w:r>
      <w:r>
        <w:t xml:space="preserve"> </w:t>
      </w:r>
      <w:r>
        <w:t xml:space="preserve">Word Learning</w:t>
      </w:r>
      <w:r>
        <w:t xml:space="preserve">.</w:t>
      </w:r>
      <w:r>
        <w:t xml:space="preserve"> </w:t>
      </w:r>
      <w:r>
        <w:rPr>
          <w:iCs/>
          <w:i/>
        </w:rPr>
        <w:t xml:space="preserve">Psychological Science</w:t>
      </w:r>
      <w:r>
        <w:t xml:space="preserve">,</w:t>
      </w:r>
      <w:r>
        <w:t xml:space="preserve"> </w:t>
      </w:r>
      <w:r>
        <w:rPr>
          <w:iCs/>
          <w:i/>
        </w:rPr>
        <w:t xml:space="preserve">21</w:t>
      </w:r>
      <w:r>
        <w:t xml:space="preserve">(12), 1894–1902.</w:t>
      </w:r>
      <w:r>
        <w:t xml:space="preserve"> </w:t>
      </w:r>
      <w:hyperlink r:id="rId370">
        <w:r>
          <w:rPr>
            <w:rStyle w:val="Hyperlink"/>
          </w:rPr>
          <w:t xml:space="preserve">https://doi.org/10.1177/0956797610389189</w:t>
        </w:r>
      </w:hyperlink>
    </w:p>
    <w:bookmarkEnd w:id="371"/>
    <w:bookmarkStart w:id="373" w:name="ref-pigottMotorSchemaStructure1984"/>
    <w:p>
      <w:pPr>
        <w:pStyle w:val="Bibliography"/>
      </w:pPr>
      <w:r>
        <w:t xml:space="preserve">Pigott, R. E., &amp; Shapiro, D. C. (1984). Motor</w:t>
      </w:r>
      <w:r>
        <w:t xml:space="preserve"> </w:t>
      </w:r>
      <w:r>
        <w:t xml:space="preserve">Schema</w:t>
      </w:r>
      <w:r>
        <w:t xml:space="preserve">:</w:t>
      </w:r>
      <w:r>
        <w:t xml:space="preserve"> </w:t>
      </w:r>
      <w:r>
        <w:t xml:space="preserve">The Structure</w:t>
      </w:r>
      <w:r>
        <w:t xml:space="preserve"> </w:t>
      </w:r>
      <w:r>
        <w:t xml:space="preserve">of the</w:t>
      </w:r>
      <w:r>
        <w:t xml:space="preserve"> </w:t>
      </w:r>
      <w:r>
        <w:t xml:space="preserve">Variability Session</w:t>
      </w:r>
      <w:r>
        <w:t xml:space="preserve">.</w:t>
      </w:r>
      <w:r>
        <w:t xml:space="preserve"> </w:t>
      </w:r>
      <w:r>
        <w:rPr>
          <w:iCs/>
          <w:i/>
        </w:rPr>
        <w:t xml:space="preserve">Research Quarterly for Exercise and Sport</w:t>
      </w:r>
      <w:r>
        <w:t xml:space="preserve">,</w:t>
      </w:r>
      <w:r>
        <w:t xml:space="preserve"> </w:t>
      </w:r>
      <w:r>
        <w:rPr>
          <w:iCs/>
          <w:i/>
        </w:rPr>
        <w:t xml:space="preserve">55</w:t>
      </w:r>
      <w:r>
        <w:t xml:space="preserve">(1), 41–45.</w:t>
      </w:r>
      <w:r>
        <w:t xml:space="preserve"> </w:t>
      </w:r>
      <w:hyperlink r:id="rId372">
        <w:r>
          <w:rPr>
            <w:rStyle w:val="Hyperlink"/>
          </w:rPr>
          <w:t xml:space="preserve">https://doi.org/10.1080/02701367.1984.10605353</w:t>
        </w:r>
      </w:hyperlink>
    </w:p>
    <w:bookmarkEnd w:id="373"/>
    <w:bookmarkStart w:id="375" w:name="Xc21ba1d8d46c5fa98e6000a97319b35df4d1ba9"/>
    <w:p>
      <w:pPr>
        <w:pStyle w:val="Bibliography"/>
      </w:pPr>
      <w:r>
        <w:t xml:space="preserve">Poldrack, R. A., Selco, S. L., Field, J. E., &amp; Cohen, N. J. (1999). The relationship between skill learning and repetition priming:</w:t>
      </w:r>
      <w:r>
        <w:t xml:space="preserve"> </w:t>
      </w:r>
      <w:r>
        <w:t xml:space="preserve">Experimental</w:t>
      </w:r>
      <w:r>
        <w:t xml:space="preserve"> </w:t>
      </w:r>
      <w:r>
        <w:t xml:space="preserve">and computational analyses.</w:t>
      </w:r>
      <w:r>
        <w:t xml:space="preserve"> </w:t>
      </w:r>
      <w:r>
        <w:rPr>
          <w:iCs/>
          <w:i/>
        </w:rPr>
        <w:t xml:space="preserve">Journal of Experimental Psychology: Learning, Memory, and Cognition</w:t>
      </w:r>
      <w:r>
        <w:t xml:space="preserve">,</w:t>
      </w:r>
      <w:r>
        <w:t xml:space="preserve"> </w:t>
      </w:r>
      <w:r>
        <w:rPr>
          <w:iCs/>
          <w:i/>
        </w:rPr>
        <w:t xml:space="preserve">25</w:t>
      </w:r>
      <w:r>
        <w:t xml:space="preserve">(1), 208–235.</w:t>
      </w:r>
      <w:r>
        <w:t xml:space="preserve"> </w:t>
      </w:r>
      <w:hyperlink r:id="rId374">
        <w:r>
          <w:rPr>
            <w:rStyle w:val="Hyperlink"/>
          </w:rPr>
          <w:t xml:space="preserve">https://doi.org/10.1037/0278-7393.25.1.208</w:t>
        </w:r>
      </w:hyperlink>
    </w:p>
    <w:bookmarkEnd w:id="375"/>
    <w:bookmarkStart w:id="377" w:name="ref-posnerGenesisAbstractIdeas1968"/>
    <w:p>
      <w:pPr>
        <w:pStyle w:val="Bibliography"/>
      </w:pPr>
      <w:r>
        <w:t xml:space="preserve">Posner, M. I., &amp; Keele, S. W. (1968). On the genesis of abstract ideas.</w:t>
      </w:r>
      <w:r>
        <w:t xml:space="preserve"> </w:t>
      </w:r>
      <w:r>
        <w:rPr>
          <w:iCs/>
          <w:i/>
        </w:rPr>
        <w:t xml:space="preserve">Journal of Experimental Psychology</w:t>
      </w:r>
      <w:r>
        <w:t xml:space="preserve">,</w:t>
      </w:r>
      <w:r>
        <w:t xml:space="preserve"> </w:t>
      </w:r>
      <w:r>
        <w:rPr>
          <w:iCs/>
          <w:i/>
        </w:rPr>
        <w:t xml:space="preserve">77</w:t>
      </w:r>
      <w:r>
        <w:t xml:space="preserve">(3), 353–363.</w:t>
      </w:r>
      <w:r>
        <w:t xml:space="preserve"> </w:t>
      </w:r>
      <w:hyperlink r:id="rId376">
        <w:r>
          <w:rPr>
            <w:rStyle w:val="Hyperlink"/>
          </w:rPr>
          <w:t xml:space="preserve">https://doi.org/10.1037/h0025953</w:t>
        </w:r>
      </w:hyperlink>
    </w:p>
    <w:bookmarkEnd w:id="377"/>
    <w:bookmarkStart w:id="379" w:name="ref-roarkComparingPerceptualCategory2021"/>
    <w:p>
      <w:pPr>
        <w:pStyle w:val="Bibliography"/>
      </w:pPr>
      <w:r>
        <w:t xml:space="preserve">Roark, C. L., Paulon, G., Sarkar, A., &amp; Chandrasekaran, B. (2021). Comparing perceptual category learning across modalities in the same individuals.</w:t>
      </w:r>
      <w:r>
        <w:t xml:space="preserve"> </w:t>
      </w:r>
      <w:r>
        <w:rPr>
          <w:iCs/>
          <w:i/>
        </w:rPr>
        <w:t xml:space="preserve">Psychonomic Bulletin &amp; Review</w:t>
      </w:r>
      <w:r>
        <w:t xml:space="preserve">,</w:t>
      </w:r>
      <w:r>
        <w:t xml:space="preserve"> </w:t>
      </w:r>
      <w:r>
        <w:rPr>
          <w:iCs/>
          <w:i/>
        </w:rPr>
        <w:t xml:space="preserve">28</w:t>
      </w:r>
      <w:r>
        <w:t xml:space="preserve">(3), 898–909.</w:t>
      </w:r>
      <w:r>
        <w:t xml:space="preserve"> </w:t>
      </w:r>
      <w:hyperlink r:id="rId378">
        <w:r>
          <w:rPr>
            <w:rStyle w:val="Hyperlink"/>
          </w:rPr>
          <w:t xml:space="preserve">https://doi.org/10.3758/s13423-021-01878-0</w:t>
        </w:r>
      </w:hyperlink>
    </w:p>
    <w:bookmarkEnd w:id="379"/>
    <w:bookmarkStart w:id="381" w:name="ref-rollerVariablePracticeLenses2001"/>
    <w:p>
      <w:pPr>
        <w:pStyle w:val="Bibliography"/>
      </w:pPr>
      <w:r>
        <w:t xml:space="preserve">Roller, C. A., Cohen, H. S., Kimball, K. T., &amp; Bloomberg, J. J. (2001). Variable practice with lenses improves visuo-motor plasticity.</w:t>
      </w:r>
      <w:r>
        <w:t xml:space="preserve"> </w:t>
      </w:r>
      <w:r>
        <w:rPr>
          <w:iCs/>
          <w:i/>
        </w:rPr>
        <w:t xml:space="preserve">Cognitive Brain Research</w:t>
      </w:r>
      <w:r>
        <w:t xml:space="preserve">,</w:t>
      </w:r>
      <w:r>
        <w:t xml:space="preserve"> </w:t>
      </w:r>
      <w:r>
        <w:rPr>
          <w:iCs/>
          <w:i/>
        </w:rPr>
        <w:t xml:space="preserve">12</w:t>
      </w:r>
      <w:r>
        <w:t xml:space="preserve">(2), 341–352.</w:t>
      </w:r>
      <w:r>
        <w:t xml:space="preserve"> </w:t>
      </w:r>
      <w:hyperlink r:id="rId380">
        <w:r>
          <w:rPr>
            <w:rStyle w:val="Hyperlink"/>
          </w:rPr>
          <w:t xml:space="preserve">https://doi.org/10.1016/S0926-6410(01)00077-5</w:t>
        </w:r>
      </w:hyperlink>
    </w:p>
    <w:bookmarkEnd w:id="381"/>
    <w:bookmarkStart w:id="383" w:name="Xc5570b410aa984cd5f5bd4b20a2c643bd5fcffc"/>
    <w:p>
      <w:pPr>
        <w:pStyle w:val="Bibliography"/>
      </w:pPr>
      <w:r>
        <w:t xml:space="preserve">Rosenbaum, D. A., Carlson, R. A., &amp; Gilmore, R. O. (2001). Acquisition of</w:t>
      </w:r>
      <w:r>
        <w:t xml:space="preserve"> </w:t>
      </w:r>
      <w:r>
        <w:t xml:space="preserve">Intellectual</w:t>
      </w:r>
      <w:r>
        <w:t xml:space="preserve"> </w:t>
      </w:r>
      <w:r>
        <w:t xml:space="preserve">and</w:t>
      </w:r>
      <w:r>
        <w:t xml:space="preserve"> </w:t>
      </w:r>
      <w:r>
        <w:t xml:space="preserve">Perceptual-Motor Skills</w:t>
      </w:r>
      <w:r>
        <w:t xml:space="preserve">.</w:t>
      </w:r>
      <w:r>
        <w:t xml:space="preserve"> </w:t>
      </w:r>
      <w:r>
        <w:rPr>
          <w:iCs/>
          <w:i/>
        </w:rPr>
        <w:t xml:space="preserve">Annual Review of Psychology</w:t>
      </w:r>
      <w:r>
        <w:t xml:space="preserve">,</w:t>
      </w:r>
      <w:r>
        <w:t xml:space="preserve"> </w:t>
      </w:r>
      <w:r>
        <w:rPr>
          <w:iCs/>
          <w:i/>
        </w:rPr>
        <w:t xml:space="preserve">52</w:t>
      </w:r>
      <w:r>
        <w:t xml:space="preserve">(1), 453–470.</w:t>
      </w:r>
      <w:r>
        <w:t xml:space="preserve"> </w:t>
      </w:r>
      <w:hyperlink r:id="rId382">
        <w:r>
          <w:rPr>
            <w:rStyle w:val="Hyperlink"/>
          </w:rPr>
          <w:t xml:space="preserve">https://doi.org/10.1146/annurev.psych.52.1.453</w:t>
        </w:r>
      </w:hyperlink>
    </w:p>
    <w:bookmarkEnd w:id="383"/>
    <w:bookmarkStart w:id="385" w:name="Xcab8540473416335c7d4745a50e2ba7c2a2f664"/>
    <w:p>
      <w:pPr>
        <w:pStyle w:val="Bibliography"/>
      </w:pPr>
      <w:r>
        <w:t xml:space="preserve">Rosenbaum, D. A., Loukopoulos, L. D., Meulenbroek, R. G., Vaughan, J., &amp; Engelbrecht, S. E. (1995). Planning reaches by evaluating stored postures.</w:t>
      </w:r>
      <w:r>
        <w:t xml:space="preserve"> </w:t>
      </w:r>
      <w:r>
        <w:rPr>
          <w:iCs/>
          <w:i/>
        </w:rPr>
        <w:t xml:space="preserve">Psychological Review</w:t>
      </w:r>
      <w:r>
        <w:t xml:space="preserve">,</w:t>
      </w:r>
      <w:r>
        <w:t xml:space="preserve"> </w:t>
      </w:r>
      <w:r>
        <w:rPr>
          <w:iCs/>
          <w:i/>
        </w:rPr>
        <w:t xml:space="preserve">102</w:t>
      </w:r>
      <w:r>
        <w:t xml:space="preserve">(1), 28.</w:t>
      </w:r>
      <w:r>
        <w:t xml:space="preserve"> </w:t>
      </w:r>
      <w:hyperlink r:id="rId384">
        <w:r>
          <w:rPr>
            <w:rStyle w:val="Hyperlink"/>
          </w:rPr>
          <w:t xml:space="preserve">https://doi.org/10.1037/0033-295X.102.1.28</w:t>
        </w:r>
      </w:hyperlink>
    </w:p>
    <w:bookmarkEnd w:id="385"/>
    <w:bookmarkStart w:id="387" w:name="ref-sabahWhenLessMore2019"/>
    <w:p>
      <w:pPr>
        <w:pStyle w:val="Bibliography"/>
      </w:pPr>
      <w:r>
        <w:t xml:space="preserve">Sabah, K., Dolk, T., Meiran, N., &amp; Dreisbach, G. (2019). When less is more: Costs and benefits of varied vs. Fixed content and structure in short-term task switching training.</w:t>
      </w:r>
      <w:r>
        <w:t xml:space="preserve"> </w:t>
      </w:r>
      <w:r>
        <w:rPr>
          <w:iCs/>
          <w:i/>
        </w:rPr>
        <w:t xml:space="preserve">Psychological Research</w:t>
      </w:r>
      <w:r>
        <w:t xml:space="preserve">,</w:t>
      </w:r>
      <w:r>
        <w:t xml:space="preserve"> </w:t>
      </w:r>
      <w:r>
        <w:rPr>
          <w:iCs/>
          <w:i/>
        </w:rPr>
        <w:t xml:space="preserve">83</w:t>
      </w:r>
      <w:r>
        <w:t xml:space="preserve">(7), 1531–1542.</w:t>
      </w:r>
      <w:r>
        <w:t xml:space="preserve"> </w:t>
      </w:r>
      <w:hyperlink r:id="rId386">
        <w:r>
          <w:rPr>
            <w:rStyle w:val="Hyperlink"/>
          </w:rPr>
          <w:t xml:space="preserve">https://doi.org/10.1007/s00426-018-1006-7</w:t>
        </w:r>
      </w:hyperlink>
    </w:p>
    <w:bookmarkEnd w:id="387"/>
    <w:bookmarkStart w:id="389" w:name="X57583d54ccab43c744e0fa2336e4c556df32b13"/>
    <w:p>
      <w:pPr>
        <w:pStyle w:val="Bibliography"/>
      </w:pPr>
      <w:r>
        <w:t xml:space="preserve">Sadakata, M., &amp; McQueen, J. M. (2014). Individual aptitude in</w:t>
      </w:r>
      <w:r>
        <w:t xml:space="preserve"> </w:t>
      </w:r>
      <w:r>
        <w:t xml:space="preserve">Mandarin</w:t>
      </w:r>
      <w:r>
        <w:t xml:space="preserve"> </w:t>
      </w:r>
      <w:r>
        <w:t xml:space="preserve">lexical tone perception predicts effectiveness of high-variability training.</w:t>
      </w:r>
      <w:r>
        <w:t xml:space="preserve"> </w:t>
      </w:r>
      <w:r>
        <w:rPr>
          <w:iCs/>
          <w:i/>
        </w:rPr>
        <w:t xml:space="preserve">Frontiers in Psychology</w:t>
      </w:r>
      <w:r>
        <w:t xml:space="preserve">,</w:t>
      </w:r>
      <w:r>
        <w:t xml:space="preserve"> </w:t>
      </w:r>
      <w:r>
        <w:rPr>
          <w:iCs/>
          <w:i/>
        </w:rPr>
        <w:t xml:space="preserve">5</w:t>
      </w:r>
      <w:r>
        <w:t xml:space="preserve">, 1318.</w:t>
      </w:r>
      <w:r>
        <w:t xml:space="preserve"> </w:t>
      </w:r>
      <w:hyperlink r:id="rId388">
        <w:r>
          <w:rPr>
            <w:rStyle w:val="Hyperlink"/>
          </w:rPr>
          <w:t xml:space="preserve">https://doi.org/10.3389/fpsyg.2014.01318</w:t>
        </w:r>
      </w:hyperlink>
    </w:p>
    <w:bookmarkEnd w:id="389"/>
    <w:bookmarkStart w:id="391" w:name="Xdf977ba0e3f22e132b04d26319edfec1b78769d"/>
    <w:p>
      <w:pPr>
        <w:pStyle w:val="Bibliography"/>
      </w:pPr>
      <w:r>
        <w:t xml:space="preserve">Said, N., &amp; Fischer, H. (2021). Extrapolation accuracy underestimates rule learning:</w:t>
      </w:r>
      <w:r>
        <w:t xml:space="preserve"> </w:t>
      </w:r>
      <w:r>
        <w:t xml:space="preserve">Evidence</w:t>
      </w:r>
      <w:r>
        <w:t xml:space="preserve"> </w:t>
      </w:r>
      <w:r>
        <w:t xml:space="preserve">from the function-learning paradigm.</w:t>
      </w:r>
      <w:r>
        <w:t xml:space="preserve"> </w:t>
      </w:r>
      <w:r>
        <w:rPr>
          <w:iCs/>
          <w:i/>
        </w:rPr>
        <w:t xml:space="preserve">Acta Psychologica</w:t>
      </w:r>
      <w:r>
        <w:t xml:space="preserve">,</w:t>
      </w:r>
      <w:r>
        <w:t xml:space="preserve"> </w:t>
      </w:r>
      <w:r>
        <w:rPr>
          <w:iCs/>
          <w:i/>
        </w:rPr>
        <w:t xml:space="preserve">218</w:t>
      </w:r>
      <w:r>
        <w:t xml:space="preserve">, 103356.</w:t>
      </w:r>
      <w:r>
        <w:t xml:space="preserve"> </w:t>
      </w:r>
      <w:hyperlink r:id="rId390">
        <w:r>
          <w:rPr>
            <w:rStyle w:val="Hyperlink"/>
          </w:rPr>
          <w:t xml:space="preserve">https://doi.org/10.1016/j.actpsy.2021.103356</w:t>
        </w:r>
      </w:hyperlink>
    </w:p>
    <w:bookmarkEnd w:id="391"/>
    <w:bookmarkStart w:id="393" w:name="ref-sakamotoPuttingPsychologyBack2008"/>
    <w:p>
      <w:pPr>
        <w:pStyle w:val="Bibliography"/>
      </w:pPr>
      <w:r>
        <w:t xml:space="preserve">Sakamoto, Y., Jones, M., &amp; Love, B. C. (2008). Putting the psychology back into psychological models:</w:t>
      </w:r>
      <w:r>
        <w:t xml:space="preserve"> </w:t>
      </w:r>
      <w:r>
        <w:t xml:space="preserve">Mechanistic</w:t>
      </w:r>
      <w:r>
        <w:t xml:space="preserve"> </w:t>
      </w:r>
      <w:r>
        <w:t xml:space="preserve">versus rational approaches.</w:t>
      </w:r>
      <w:r>
        <w:t xml:space="preserve"> </w:t>
      </w:r>
      <w:r>
        <w:rPr>
          <w:iCs/>
          <w:i/>
        </w:rPr>
        <w:t xml:space="preserve">Memory &amp; Cognition</w:t>
      </w:r>
      <w:r>
        <w:t xml:space="preserve">,</w:t>
      </w:r>
      <w:r>
        <w:t xml:space="preserve"> </w:t>
      </w:r>
      <w:r>
        <w:rPr>
          <w:iCs/>
          <w:i/>
        </w:rPr>
        <w:t xml:space="preserve">36</w:t>
      </w:r>
      <w:r>
        <w:t xml:space="preserve">(6), 1057–1065.</w:t>
      </w:r>
      <w:r>
        <w:t xml:space="preserve"> </w:t>
      </w:r>
      <w:hyperlink r:id="rId392">
        <w:r>
          <w:rPr>
            <w:rStyle w:val="Hyperlink"/>
          </w:rPr>
          <w:t xml:space="preserve">https://doi.org/10.3758/MC.36.6.1057</w:t>
        </w:r>
      </w:hyperlink>
    </w:p>
    <w:bookmarkEnd w:id="393"/>
    <w:bookmarkStart w:id="394" w:name="Xf1d03c8e78c2da82ff37104161b8190293de477"/>
    <w:p>
      <w:pPr>
        <w:pStyle w:val="Bibliography"/>
      </w:pPr>
      <w:r>
        <w:t xml:space="preserve">Sakamoto, Y., Love, B. C., &amp; Jones, M. (2006). Tracking</w:t>
      </w:r>
      <w:r>
        <w:t xml:space="preserve"> </w:t>
      </w:r>
      <w:r>
        <w:t xml:space="preserve">Variability</w:t>
      </w:r>
      <w:r>
        <w:t xml:space="preserve"> </w:t>
      </w:r>
      <w:r>
        <w:t xml:space="preserve">in</w:t>
      </w:r>
      <w:r>
        <w:t xml:space="preserve"> </w:t>
      </w:r>
      <w:r>
        <w:t xml:space="preserve">Learning</w:t>
      </w:r>
      <w:r>
        <w:t xml:space="preserve">:</w:t>
      </w:r>
      <w:r>
        <w:t xml:space="preserve"> </w:t>
      </w:r>
      <w:r>
        <w:t xml:space="preserve">Contrasting Statistical</w:t>
      </w:r>
      <w:r>
        <w:t xml:space="preserve"> </w:t>
      </w:r>
      <w:r>
        <w:t xml:space="preserve">and</w:t>
      </w:r>
      <w:r>
        <w:t xml:space="preserve"> </w:t>
      </w:r>
      <w:r>
        <w:t xml:space="preserve">Similarity-Based Accounts</w:t>
      </w:r>
      <w:r>
        <w:t xml:space="preserve">.</w:t>
      </w:r>
      <w:r>
        <w:t xml:space="preserve"> </w:t>
      </w:r>
      <w:r>
        <w:rPr>
          <w:iCs/>
          <w:i/>
        </w:rPr>
        <w:t xml:space="preserve">Proceedings of the 28th Annual Conference of the Cognitive Science Society. Vancouver, Canada: Cognitive Science Society</w:t>
      </w:r>
      <w:r>
        <w:t xml:space="preserve">.</w:t>
      </w:r>
    </w:p>
    <w:bookmarkEnd w:id="394"/>
    <w:bookmarkStart w:id="396" w:name="ref-schmidtSchemaTheoryDiscrete1975"/>
    <w:p>
      <w:pPr>
        <w:pStyle w:val="Bibliography"/>
      </w:pPr>
      <w:r>
        <w:t xml:space="preserve">Schmidt, R. A. (1975). A schema theory of discrete motor skill learning.</w:t>
      </w:r>
      <w:r>
        <w:t xml:space="preserve"> </w:t>
      </w:r>
      <w:r>
        <w:rPr>
          <w:iCs/>
          <w:i/>
        </w:rPr>
        <w:t xml:space="preserve">Psychological Review</w:t>
      </w:r>
      <w:r>
        <w:t xml:space="preserve">,</w:t>
      </w:r>
      <w:r>
        <w:t xml:space="preserve"> </w:t>
      </w:r>
      <w:r>
        <w:rPr>
          <w:iCs/>
          <w:i/>
        </w:rPr>
        <w:t xml:space="preserve">82</w:t>
      </w:r>
      <w:r>
        <w:t xml:space="preserve">(4), 225–260.</w:t>
      </w:r>
      <w:r>
        <w:t xml:space="preserve"> </w:t>
      </w:r>
      <w:hyperlink r:id="rId395">
        <w:r>
          <w:rPr>
            <w:rStyle w:val="Hyperlink"/>
          </w:rPr>
          <w:t xml:space="preserve">https://doi.org/10.1037/h0076770</w:t>
        </w:r>
      </w:hyperlink>
    </w:p>
    <w:bookmarkEnd w:id="396"/>
    <w:bookmarkStart w:id="397" w:name="X991c7e934294b3dea74f5728c3aa47ea65eb872"/>
    <w:p>
      <w:pPr>
        <w:pStyle w:val="Bibliography"/>
      </w:pPr>
      <w:r>
        <w:t xml:space="preserve">Schmidt, R. A., &amp; Bjork, R. A. (1992). New conceptualizations of practice:</w:t>
      </w:r>
      <w:r>
        <w:t xml:space="preserve"> </w:t>
      </w:r>
      <w:r>
        <w:t xml:space="preserve">Common</w:t>
      </w:r>
      <w:r>
        <w:t xml:space="preserve"> </w:t>
      </w:r>
      <w:r>
        <w:t xml:space="preserve">principles in three paradigms suggest new concepts for training.</w:t>
      </w:r>
      <w:r>
        <w:t xml:space="preserve"> </w:t>
      </w:r>
      <w:r>
        <w:rPr>
          <w:iCs/>
          <w:i/>
        </w:rPr>
        <w:t xml:space="preserve">Psychological Science</w:t>
      </w:r>
      <w:r>
        <w:t xml:space="preserve">,</w:t>
      </w:r>
      <w:r>
        <w:t xml:space="preserve"> </w:t>
      </w:r>
      <w:r>
        <w:rPr>
          <w:iCs/>
          <w:i/>
        </w:rPr>
        <w:t xml:space="preserve">3</w:t>
      </w:r>
      <w:r>
        <w:t xml:space="preserve">(4), 207–217.</w:t>
      </w:r>
    </w:p>
    <w:bookmarkEnd w:id="397"/>
    <w:bookmarkStart w:id="399" w:name="X072c1cde369bcb8ccfc8c60c4e4877236c1710d"/>
    <w:p>
      <w:pPr>
        <w:pStyle w:val="Bibliography"/>
      </w:pPr>
      <w:r>
        <w:t xml:space="preserve">Schulz, E., Quiroga, F., &amp; Gershman, S. J. (2020). Communicating</w:t>
      </w:r>
      <w:r>
        <w:t xml:space="preserve"> </w:t>
      </w:r>
      <w:r>
        <w:t xml:space="preserve">Compositional Patterns</w:t>
      </w:r>
      <w:r>
        <w:t xml:space="preserve">.</w:t>
      </w:r>
      <w:r>
        <w:t xml:space="preserve"> </w:t>
      </w:r>
      <w:r>
        <w:rPr>
          <w:iCs/>
          <w:i/>
        </w:rPr>
        <w:t xml:space="preserve">Open Mind</w:t>
      </w:r>
      <w:r>
        <w:t xml:space="preserve">,</w:t>
      </w:r>
      <w:r>
        <w:t xml:space="preserve"> </w:t>
      </w:r>
      <w:r>
        <w:rPr>
          <w:iCs/>
          <w:i/>
        </w:rPr>
        <w:t xml:space="preserve">4</w:t>
      </w:r>
      <w:r>
        <w:t xml:space="preserve">, 25–39.</w:t>
      </w:r>
      <w:r>
        <w:t xml:space="preserve"> </w:t>
      </w:r>
      <w:hyperlink r:id="rId398">
        <w:r>
          <w:rPr>
            <w:rStyle w:val="Hyperlink"/>
          </w:rPr>
          <w:t xml:space="preserve">https://doi.org/10.1162/opmi_a_00032</w:t>
        </w:r>
      </w:hyperlink>
    </w:p>
    <w:bookmarkEnd w:id="399"/>
    <w:bookmarkStart w:id="400" w:name="ref-seowTransferEffectsVaried2019"/>
    <w:p>
      <w:pPr>
        <w:pStyle w:val="Bibliography"/>
      </w:pPr>
      <w:r>
        <w:t xml:space="preserve">Seow, R. Y. T., Betts, S., &amp; Anderson, J. R. (2019). Transfer effects of varied practice and adaptation to changes in complex skill acquisition.</w:t>
      </w:r>
      <w:r>
        <w:t xml:space="preserve"> </w:t>
      </w:r>
      <w:r>
        <w:rPr>
          <w:iCs/>
          <w:i/>
        </w:rPr>
        <w:t xml:space="preserve">Proceedings of the 17th International Conference on Cognitive Modelling</w:t>
      </w:r>
      <w:r>
        <w:t xml:space="preserve">, 222–227.</w:t>
      </w:r>
    </w:p>
    <w:bookmarkEnd w:id="400"/>
    <w:bookmarkStart w:id="402" w:name="X8219da891ffbe1659a6c1c1af076e3074574baf"/>
    <w:p>
      <w:pPr>
        <w:pStyle w:val="Bibliography"/>
      </w:pPr>
      <w:r>
        <w:t xml:space="preserve">Shea, C. H., Kohl, R., &amp; Indermill, C. (1990). Contextual interference:</w:t>
      </w:r>
      <w:r>
        <w:t xml:space="preserve"> </w:t>
      </w:r>
      <w:r>
        <w:t xml:space="preserve">Contributions</w:t>
      </w:r>
      <w:r>
        <w:t xml:space="preserve"> </w:t>
      </w:r>
      <w:r>
        <w:t xml:space="preserve">of practice.</w:t>
      </w:r>
      <w:r>
        <w:t xml:space="preserve"> </w:t>
      </w:r>
      <w:r>
        <w:rPr>
          <w:iCs/>
          <w:i/>
        </w:rPr>
        <w:t xml:space="preserve">Acta Psychologica</w:t>
      </w:r>
      <w:r>
        <w:t xml:space="preserve">,</w:t>
      </w:r>
      <w:r>
        <w:t xml:space="preserve"> </w:t>
      </w:r>
      <w:r>
        <w:rPr>
          <w:iCs/>
          <w:i/>
        </w:rPr>
        <w:t xml:space="preserve">73</w:t>
      </w:r>
      <w:r>
        <w:t xml:space="preserve">(2), 145–157.</w:t>
      </w:r>
      <w:r>
        <w:t xml:space="preserve"> </w:t>
      </w:r>
      <w:hyperlink r:id="rId401">
        <w:r>
          <w:rPr>
            <w:rStyle w:val="Hyperlink"/>
          </w:rPr>
          <w:t xml:space="preserve">https://doi.org/10.1016/0001-6918(90)90076-R</w:t>
        </w:r>
      </w:hyperlink>
    </w:p>
    <w:bookmarkEnd w:id="402"/>
    <w:bookmarkStart w:id="403" w:name="X2555b11222547f6d73644fb60c8e783adf324da"/>
    <w:p>
      <w:pPr>
        <w:pStyle w:val="Bibliography"/>
      </w:pPr>
      <w:r>
        <w:t xml:space="preserve">Shea, J. B., &amp; Morgan, R. L. (1979). Contextual interference effects on the acquisition, retention, and transfer of a motor skill.</w:t>
      </w:r>
      <w:r>
        <w:t xml:space="preserve"> </w:t>
      </w:r>
      <w:r>
        <w:rPr>
          <w:iCs/>
          <w:i/>
        </w:rPr>
        <w:t xml:space="preserve">Journal of Experimental Psychology: Human Learning and Memory</w:t>
      </w:r>
      <w:r>
        <w:t xml:space="preserve">,</w:t>
      </w:r>
      <w:r>
        <w:t xml:space="preserve"> </w:t>
      </w:r>
      <w:r>
        <w:rPr>
          <w:iCs/>
          <w:i/>
        </w:rPr>
        <w:t xml:space="preserve">5</w:t>
      </w:r>
      <w:r>
        <w:t xml:space="preserve">(2), 179.</w:t>
      </w:r>
    </w:p>
    <w:bookmarkEnd w:id="403"/>
    <w:bookmarkStart w:id="405" w:name="ref-sheaContextEffectsMemory1983"/>
    <w:p>
      <w:pPr>
        <w:pStyle w:val="Bibliography"/>
      </w:pPr>
      <w:r>
        <w:t xml:space="preserve">Shea, J. B., &amp; Zimny, S. T. (1983). Context</w:t>
      </w:r>
      <w:r>
        <w:t xml:space="preserve"> </w:t>
      </w:r>
      <w:r>
        <w:t xml:space="preserve">Effects</w:t>
      </w:r>
      <w:r>
        <w:t xml:space="preserve"> </w:t>
      </w:r>
      <w:r>
        <w:t xml:space="preserve">in</w:t>
      </w:r>
      <w:r>
        <w:t xml:space="preserve"> </w:t>
      </w:r>
      <w:r>
        <w:t xml:space="preserve">Memory</w:t>
      </w:r>
      <w:r>
        <w:t xml:space="preserve"> </w:t>
      </w:r>
      <w:r>
        <w:t xml:space="preserve">and</w:t>
      </w:r>
      <w:r>
        <w:t xml:space="preserve"> </w:t>
      </w:r>
      <w:r>
        <w:t xml:space="preserve">Learning Movement Information</w:t>
      </w:r>
      <w:r>
        <w:t xml:space="preserve">. In</w:t>
      </w:r>
      <w:r>
        <w:t xml:space="preserve"> </w:t>
      </w:r>
      <w:r>
        <w:rPr>
          <w:iCs/>
          <w:i/>
        </w:rPr>
        <w:t xml:space="preserve">Advances in</w:t>
      </w:r>
      <w:r>
        <w:rPr>
          <w:iCs/>
          <w:i/>
        </w:rPr>
        <w:t xml:space="preserve"> </w:t>
      </w:r>
      <w:r>
        <w:rPr>
          <w:iCs/>
          <w:i/>
        </w:rPr>
        <w:t xml:space="preserve">Psychology</w:t>
      </w:r>
      <w:r>
        <w:t xml:space="preserve"> </w:t>
      </w:r>
      <w:r>
        <w:t xml:space="preserve">(Vol. 12, pp. 345–366).</w:t>
      </w:r>
      <w:r>
        <w:t xml:space="preserve"> </w:t>
      </w:r>
      <w:r>
        <w:t xml:space="preserve">Elsevier</w:t>
      </w:r>
      <w:r>
        <w:t xml:space="preserve">.</w:t>
      </w:r>
      <w:r>
        <w:t xml:space="preserve"> </w:t>
      </w:r>
      <w:hyperlink r:id="rId404">
        <w:r>
          <w:rPr>
            <w:rStyle w:val="Hyperlink"/>
          </w:rPr>
          <w:t xml:space="preserve">https://doi.org/10.1016/S0166-4115(08)61998-6</w:t>
        </w:r>
      </w:hyperlink>
    </w:p>
    <w:bookmarkEnd w:id="405"/>
    <w:bookmarkStart w:id="407" w:name="Xba9007bcdae70d35df09ac345233f10159cb4bf"/>
    <w:p>
      <w:pPr>
        <w:pStyle w:val="Bibliography"/>
      </w:pPr>
      <w:r>
        <w:t xml:space="preserve">Shepard, R. N. (1987). Toward a universal law of generalization for psychological science.</w:t>
      </w:r>
      <w:r>
        <w:t xml:space="preserve"> </w:t>
      </w:r>
      <w:r>
        <w:rPr>
          <w:iCs/>
          <w:i/>
        </w:rPr>
        <w:t xml:space="preserve">Science</w:t>
      </w:r>
      <w:r>
        <w:t xml:space="preserve">,</w:t>
      </w:r>
      <w:r>
        <w:t xml:space="preserve"> </w:t>
      </w:r>
      <w:r>
        <w:rPr>
          <w:iCs/>
          <w:i/>
        </w:rPr>
        <w:t xml:space="preserve">237</w:t>
      </w:r>
      <w:r>
        <w:t xml:space="preserve">(4820), 1317–1323.</w:t>
      </w:r>
      <w:r>
        <w:t xml:space="preserve"> </w:t>
      </w:r>
      <w:hyperlink r:id="rId406">
        <w:r>
          <w:rPr>
            <w:rStyle w:val="Hyperlink"/>
          </w:rPr>
          <w:t xml:space="preserve">https://doi.org/10.1126/science.3629243</w:t>
        </w:r>
      </w:hyperlink>
    </w:p>
    <w:bookmarkEnd w:id="407"/>
    <w:bookmarkStart w:id="409" w:name="ref-sinkeviciuteRoleInputVariability2019"/>
    <w:p>
      <w:pPr>
        <w:pStyle w:val="Bibliography"/>
      </w:pPr>
      <w:r>
        <w:t xml:space="preserve">Sinkeviciute, R., Brown, H., Brekelmans, G., &amp; Wonnacott, E. (2019). The role of input variability and learner age in second language vocabulary learning.</w:t>
      </w:r>
      <w:r>
        <w:t xml:space="preserve"> </w:t>
      </w:r>
      <w:r>
        <w:rPr>
          <w:iCs/>
          <w:i/>
        </w:rPr>
        <w:t xml:space="preserve">Studies in Second Language Acquisition</w:t>
      </w:r>
      <w:r>
        <w:t xml:space="preserve">,</w:t>
      </w:r>
      <w:r>
        <w:t xml:space="preserve"> </w:t>
      </w:r>
      <w:r>
        <w:rPr>
          <w:iCs/>
          <w:i/>
        </w:rPr>
        <w:t xml:space="preserve">41</w:t>
      </w:r>
      <w:r>
        <w:t xml:space="preserve">(04), 795–820.</w:t>
      </w:r>
      <w:r>
        <w:t xml:space="preserve"> </w:t>
      </w:r>
      <w:hyperlink r:id="rId408">
        <w:r>
          <w:rPr>
            <w:rStyle w:val="Hyperlink"/>
          </w:rPr>
          <w:t xml:space="preserve">https://doi.org/10.1017/S0272263119000263</w:t>
        </w:r>
      </w:hyperlink>
    </w:p>
    <w:bookmarkEnd w:id="409"/>
    <w:bookmarkStart w:id="411" w:name="X0acc7fc1613de11f1df556c6841b86f5c4c9943"/>
    <w:p>
      <w:pPr>
        <w:pStyle w:val="Bibliography"/>
      </w:pPr>
      <w:r>
        <w:t xml:space="preserve">Soderstrom, N. C., &amp; Bjork, R. A. (2015). Learning versus performance:</w:t>
      </w:r>
      <w:r>
        <w:t xml:space="preserve"> </w:t>
      </w:r>
      <w:r>
        <w:t xml:space="preserve">An</w:t>
      </w:r>
      <w:r>
        <w:t xml:space="preserve"> </w:t>
      </w:r>
      <w:r>
        <w:t xml:space="preserve">integrative review.</w:t>
      </w:r>
      <w:r>
        <w:t xml:space="preserve"> </w:t>
      </w:r>
      <w:r>
        <w:rPr>
          <w:iCs/>
          <w:i/>
        </w:rPr>
        <w:t xml:space="preserve">Perspectives on Psychological Science</w:t>
      </w:r>
      <w:r>
        <w:t xml:space="preserve">,</w:t>
      </w:r>
      <w:r>
        <w:t xml:space="preserve"> </w:t>
      </w:r>
      <w:r>
        <w:rPr>
          <w:iCs/>
          <w:i/>
        </w:rPr>
        <w:t xml:space="preserve">10</w:t>
      </w:r>
      <w:r>
        <w:t xml:space="preserve">(2), 176–199.</w:t>
      </w:r>
      <w:r>
        <w:t xml:space="preserve"> </w:t>
      </w:r>
      <w:hyperlink r:id="rId410">
        <w:r>
          <w:rPr>
            <w:rStyle w:val="Hyperlink"/>
          </w:rPr>
          <w:t xml:space="preserve">https://doi.org/10.1177/1745691615569000</w:t>
        </w:r>
      </w:hyperlink>
    </w:p>
    <w:bookmarkEnd w:id="411"/>
    <w:bookmarkStart w:id="413" w:name="X7acf466e043dea9822f78ede980432d030badec"/>
    <w:p>
      <w:pPr>
        <w:pStyle w:val="Bibliography"/>
      </w:pPr>
      <w:r>
        <w:t xml:space="preserve">Taylor, J., &amp; Ivry, R. (2013). Context-dependent generalization.</w:t>
      </w:r>
      <w:r>
        <w:t xml:space="preserve"> </w:t>
      </w:r>
      <w:r>
        <w:rPr>
          <w:iCs/>
          <w:i/>
        </w:rPr>
        <w:t xml:space="preserve">Frontiers in Human Neuroscience</w:t>
      </w:r>
      <w:r>
        <w:t xml:space="preserve">,</w:t>
      </w:r>
      <w:r>
        <w:t xml:space="preserve"> </w:t>
      </w:r>
      <w:r>
        <w:rPr>
          <w:iCs/>
          <w:i/>
        </w:rPr>
        <w:t xml:space="preserve">7</w:t>
      </w:r>
      <w:r>
        <w:t xml:space="preserve">, 171.</w:t>
      </w:r>
      <w:r>
        <w:t xml:space="preserve"> </w:t>
      </w:r>
      <w:hyperlink r:id="rId412">
        <w:r>
          <w:rPr>
            <w:rStyle w:val="Hyperlink"/>
          </w:rPr>
          <w:t xml:space="preserve">https://doi.org/10.3389/fnhum.2013.00171</w:t>
        </w:r>
      </w:hyperlink>
    </w:p>
    <w:bookmarkEnd w:id="413"/>
    <w:bookmarkStart w:id="414" w:name="X7b3c79bfb7654af1f4b03dba64dad1a6765c972"/>
    <w:p>
      <w:pPr>
        <w:pStyle w:val="Bibliography"/>
      </w:pPr>
      <w:r>
        <w:t xml:space="preserve">Team, R. C. (2020).</w:t>
      </w:r>
      <w:r>
        <w:t xml:space="preserve"> </w:t>
      </w:r>
      <w:r>
        <w:rPr>
          <w:iCs/>
          <w:i/>
        </w:rPr>
        <w:t xml:space="preserve">R:</w:t>
      </w:r>
      <w:r>
        <w:rPr>
          <w:iCs/>
          <w:i/>
        </w:rPr>
        <w:t xml:space="preserve"> </w:t>
      </w:r>
      <w:r>
        <w:rPr>
          <w:iCs/>
          <w:i/>
        </w:rPr>
        <w:t xml:space="preserve">A Language</w:t>
      </w:r>
      <w:r>
        <w:rPr>
          <w:iCs/>
          <w:i/>
        </w:rPr>
        <w:t xml:space="preserve"> </w:t>
      </w:r>
      <w:r>
        <w:rPr>
          <w:iCs/>
          <w:i/>
        </w:rPr>
        <w:t xml:space="preserve">and</w:t>
      </w:r>
      <w:r>
        <w:rPr>
          <w:iCs/>
          <w:i/>
        </w:rPr>
        <w:t xml:space="preserve"> </w:t>
      </w:r>
      <w:r>
        <w:rPr>
          <w:iCs/>
          <w:i/>
        </w:rPr>
        <w:t xml:space="preserve">Environment</w:t>
      </w:r>
      <w:r>
        <w:rPr>
          <w:iCs/>
          <w:i/>
        </w:rPr>
        <w:t xml:space="preserve"> </w:t>
      </w:r>
      <w:r>
        <w:rPr>
          <w:iCs/>
          <w:i/>
        </w:rPr>
        <w:t xml:space="preserve">for</w:t>
      </w:r>
      <w:r>
        <w:rPr>
          <w:iCs/>
          <w:i/>
        </w:rPr>
        <w:t xml:space="preserve"> </w:t>
      </w:r>
      <w:r>
        <w:rPr>
          <w:iCs/>
          <w:i/>
        </w:rPr>
        <w:t xml:space="preserve">Statistical Computing</w:t>
      </w:r>
      <w:r>
        <w:t xml:space="preserve">. R: A Language and Environment for Statistical Computing.</w:t>
      </w:r>
    </w:p>
    <w:bookmarkEnd w:id="414"/>
    <w:bookmarkStart w:id="416" w:name="X03164288fbe6d761b530723d503a71767864c64"/>
    <w:p>
      <w:pPr>
        <w:pStyle w:val="Bibliography"/>
      </w:pPr>
      <w:r>
        <w:t xml:space="preserve">Tenenbaum, J. B., &amp; Griffiths, T. L. (2001). Generalization, similarity, and</w:t>
      </w:r>
      <w:r>
        <w:t xml:space="preserve"> </w:t>
      </w:r>
      <w:r>
        <w:t xml:space="preserve">Bayesian</w:t>
      </w:r>
      <w:r>
        <w:t xml:space="preserve"> </w:t>
      </w:r>
      <w:r>
        <w:t xml:space="preserve">inference.</w:t>
      </w:r>
      <w:r>
        <w:t xml:space="preserve"> </w:t>
      </w:r>
      <w:r>
        <w:rPr>
          <w:iCs/>
          <w:i/>
        </w:rPr>
        <w:t xml:space="preserve">Behavioral and Brain Sciences</w:t>
      </w:r>
      <w:r>
        <w:t xml:space="preserve">,</w:t>
      </w:r>
      <w:r>
        <w:t xml:space="preserve"> </w:t>
      </w:r>
      <w:r>
        <w:rPr>
          <w:iCs/>
          <w:i/>
        </w:rPr>
        <w:t xml:space="preserve">24</w:t>
      </w:r>
      <w:r>
        <w:t xml:space="preserve">(4), 629–640.</w:t>
      </w:r>
      <w:r>
        <w:t xml:space="preserve"> </w:t>
      </w:r>
      <w:hyperlink r:id="rId415">
        <w:r>
          <w:rPr>
            <w:rStyle w:val="Hyperlink"/>
          </w:rPr>
          <w:t xml:space="preserve">https://doi.org/10.1017/S0140525X01000061</w:t>
        </w:r>
      </w:hyperlink>
    </w:p>
    <w:bookmarkEnd w:id="416"/>
    <w:bookmarkStart w:id="418" w:name="ref-thoroughmanRapidReshapingHuman2005"/>
    <w:p>
      <w:pPr>
        <w:pStyle w:val="Bibliography"/>
      </w:pPr>
      <w:r>
        <w:t xml:space="preserve">Thoroughman, K. A., &amp; Taylor, J. A. (2005). Rapid</w:t>
      </w:r>
      <w:r>
        <w:t xml:space="preserve"> </w:t>
      </w:r>
      <w:r>
        <w:t xml:space="preserve">Reshaping</w:t>
      </w:r>
      <w:r>
        <w:t xml:space="preserve"> </w:t>
      </w:r>
      <w:r>
        <w:t xml:space="preserve">of</w:t>
      </w:r>
      <w:r>
        <w:t xml:space="preserve"> </w:t>
      </w:r>
      <w:r>
        <w:t xml:space="preserve">Human Motor Generalization</w:t>
      </w:r>
      <w:r>
        <w:t xml:space="preserve">.</w:t>
      </w:r>
      <w:r>
        <w:t xml:space="preserve"> </w:t>
      </w:r>
      <w:r>
        <w:rPr>
          <w:iCs/>
          <w:i/>
        </w:rPr>
        <w:t xml:space="preserve">Journal of Neuroscience</w:t>
      </w:r>
      <w:r>
        <w:t xml:space="preserve">,</w:t>
      </w:r>
      <w:r>
        <w:t xml:space="preserve"> </w:t>
      </w:r>
      <w:r>
        <w:rPr>
          <w:iCs/>
          <w:i/>
        </w:rPr>
        <w:t xml:space="preserve">25</w:t>
      </w:r>
      <w:r>
        <w:t xml:space="preserve">(39), 8948–8953.</w:t>
      </w:r>
      <w:r>
        <w:t xml:space="preserve"> </w:t>
      </w:r>
      <w:hyperlink r:id="rId417">
        <w:r>
          <w:rPr>
            <w:rStyle w:val="Hyperlink"/>
          </w:rPr>
          <w:t xml:space="preserve">https://doi.org/10.1523/JNEUROSCI.1771-05.2005</w:t>
        </w:r>
      </w:hyperlink>
    </w:p>
    <w:bookmarkEnd w:id="418"/>
    <w:bookmarkStart w:id="420" w:name="ref-twomeyAllRightNoises2018"/>
    <w:p>
      <w:pPr>
        <w:pStyle w:val="Bibliography"/>
      </w:pPr>
      <w:r>
        <w:t xml:space="preserve">Twomey, K. E., Ma, L., &amp; Westermann, G. (2018). All the</w:t>
      </w:r>
      <w:r>
        <w:t xml:space="preserve"> </w:t>
      </w:r>
      <w:r>
        <w:t xml:space="preserve">Right Noises</w:t>
      </w:r>
      <w:r>
        <w:t xml:space="preserve">:</w:t>
      </w:r>
      <w:r>
        <w:t xml:space="preserve"> </w:t>
      </w:r>
      <w:r>
        <w:t xml:space="preserve">Background Variability Helps Early Word Learning</w:t>
      </w:r>
      <w:r>
        <w:t xml:space="preserve">.</w:t>
      </w:r>
      <w:r>
        <w:t xml:space="preserve"> </w:t>
      </w:r>
      <w:r>
        <w:rPr>
          <w:iCs/>
          <w:i/>
        </w:rPr>
        <w:t xml:space="preserve">Cognitive Science</w:t>
      </w:r>
      <w:r>
        <w:t xml:space="preserve">,</w:t>
      </w:r>
      <w:r>
        <w:t xml:space="preserve"> </w:t>
      </w:r>
      <w:r>
        <w:rPr>
          <w:iCs/>
          <w:i/>
        </w:rPr>
        <w:t xml:space="preserve">42</w:t>
      </w:r>
      <w:r>
        <w:t xml:space="preserve">(S2), 413–438.</w:t>
      </w:r>
      <w:r>
        <w:t xml:space="preserve"> </w:t>
      </w:r>
      <w:hyperlink r:id="rId419">
        <w:r>
          <w:rPr>
            <w:rStyle w:val="Hyperlink"/>
          </w:rPr>
          <w:t xml:space="preserve">https://doi.org/10.1111/cogs.12539</w:t>
        </w:r>
      </w:hyperlink>
    </w:p>
    <w:bookmarkEnd w:id="420"/>
    <w:bookmarkStart w:id="422" w:name="ref-vandamMappingShapeVisuomotor2015"/>
    <w:p>
      <w:pPr>
        <w:pStyle w:val="Bibliography"/>
      </w:pPr>
      <w:r>
        <w:t xml:space="preserve">van Dam, L. C. J., &amp; Ernst, M. O. (2015). Mapping</w:t>
      </w:r>
      <w:r>
        <w:t xml:space="preserve"> </w:t>
      </w:r>
      <w:r>
        <w:t xml:space="preserve">Shape</w:t>
      </w:r>
      <w:r>
        <w:t xml:space="preserve"> </w:t>
      </w:r>
      <w:r>
        <w:t xml:space="preserve">to</w:t>
      </w:r>
      <w:r>
        <w:t xml:space="preserve"> </w:t>
      </w:r>
      <w:r>
        <w:t xml:space="preserve">Visuomotor Mapping</w:t>
      </w:r>
      <w:r>
        <w:t xml:space="preserve">:</w:t>
      </w:r>
      <w:r>
        <w:t xml:space="preserve"> </w:t>
      </w:r>
      <w:r>
        <w:t xml:space="preserve">Learning</w:t>
      </w:r>
      <w:r>
        <w:t xml:space="preserve"> </w:t>
      </w:r>
      <w:r>
        <w:t xml:space="preserve">and</w:t>
      </w:r>
      <w:r>
        <w:t xml:space="preserve"> </w:t>
      </w:r>
      <w:r>
        <w:t xml:space="preserve">Generalisation</w:t>
      </w:r>
      <w:r>
        <w:t xml:space="preserve"> </w:t>
      </w:r>
      <w:r>
        <w:t xml:space="preserve">of</w:t>
      </w:r>
      <w:r>
        <w:t xml:space="preserve"> </w:t>
      </w:r>
      <w:r>
        <w:t xml:space="preserve">Sensorimotor Behaviour Based</w:t>
      </w:r>
      <w:r>
        <w:t xml:space="preserve"> </w:t>
      </w:r>
      <w:r>
        <w:t xml:space="preserve">on</w:t>
      </w:r>
      <w:r>
        <w:t xml:space="preserve"> </w:t>
      </w:r>
      <w:r>
        <w:t xml:space="preserve">Contextual Information</w:t>
      </w:r>
      <w:r>
        <w:t xml:space="preserve">.</w:t>
      </w:r>
      <w:r>
        <w:t xml:space="preserve"> </w:t>
      </w:r>
      <w:r>
        <w:rPr>
          <w:iCs/>
          <w:i/>
        </w:rPr>
        <w:t xml:space="preserve">PLOS Computational Biology</w:t>
      </w:r>
      <w:r>
        <w:t xml:space="preserve">,</w:t>
      </w:r>
      <w:r>
        <w:t xml:space="preserve"> </w:t>
      </w:r>
      <w:r>
        <w:rPr>
          <w:iCs/>
          <w:i/>
        </w:rPr>
        <w:t xml:space="preserve">11</w:t>
      </w:r>
      <w:r>
        <w:t xml:space="preserve">(3), e1004172.</w:t>
      </w:r>
      <w:r>
        <w:t xml:space="preserve"> </w:t>
      </w:r>
      <w:hyperlink r:id="rId421">
        <w:r>
          <w:rPr>
            <w:rStyle w:val="Hyperlink"/>
          </w:rPr>
          <w:t xml:space="preserve">https://doi.org/10.1371/journal.pcbi.1004172</w:t>
        </w:r>
      </w:hyperlink>
    </w:p>
    <w:bookmarkEnd w:id="422"/>
    <w:bookmarkStart w:id="424" w:name="ref-vanrossumSchmidtSchemaTheory1990"/>
    <w:p>
      <w:pPr>
        <w:pStyle w:val="Bibliography"/>
      </w:pPr>
      <w:r>
        <w:t xml:space="preserve">Van Rossum, J. H. A. (1990). Schmidt’s schema theory: The empirical base of the variability of practice hypothesis.</w:t>
      </w:r>
      <w:r>
        <w:t xml:space="preserve"> </w:t>
      </w:r>
      <w:r>
        <w:rPr>
          <w:iCs/>
          <w:i/>
        </w:rPr>
        <w:t xml:space="preserve">Human Movement Science</w:t>
      </w:r>
      <w:r>
        <w:t xml:space="preserve">,</w:t>
      </w:r>
      <w:r>
        <w:t xml:space="preserve"> </w:t>
      </w:r>
      <w:r>
        <w:rPr>
          <w:iCs/>
          <w:i/>
        </w:rPr>
        <w:t xml:space="preserve">9</w:t>
      </w:r>
      <w:r>
        <w:t xml:space="preserve">(3-5), 387–435.</w:t>
      </w:r>
      <w:r>
        <w:t xml:space="preserve"> </w:t>
      </w:r>
      <w:hyperlink r:id="rId423">
        <w:r>
          <w:rPr>
            <w:rStyle w:val="Hyperlink"/>
          </w:rPr>
          <w:t xml:space="preserve">https://doi.org/10.1016/0167-9457(90)90010-B</w:t>
        </w:r>
      </w:hyperlink>
    </w:p>
    <w:bookmarkEnd w:id="424"/>
    <w:bookmarkStart w:id="426" w:name="ref-vigoLearningDifficultyVisual2018"/>
    <w:p>
      <w:pPr>
        <w:pStyle w:val="Bibliography"/>
      </w:pPr>
      <w:r>
        <w:t xml:space="preserve">Vigo, R., Doan, K.-M. C., Doan, C. A., &amp; Pinegar, S. (2018). On the learning difficulty of visual and auditory modal concepts:</w:t>
      </w:r>
      <w:r>
        <w:t xml:space="preserve"> </w:t>
      </w:r>
      <w:r>
        <w:t xml:space="preserve">Evidence</w:t>
      </w:r>
      <w:r>
        <w:t xml:space="preserve"> </w:t>
      </w:r>
      <w:r>
        <w:t xml:space="preserve">for a single processing system.</w:t>
      </w:r>
      <w:r>
        <w:t xml:space="preserve"> </w:t>
      </w:r>
      <w:r>
        <w:rPr>
          <w:iCs/>
          <w:i/>
        </w:rPr>
        <w:t xml:space="preserve">Cognitive Processing</w:t>
      </w:r>
      <w:r>
        <w:t xml:space="preserve">,</w:t>
      </w:r>
      <w:r>
        <w:t xml:space="preserve"> </w:t>
      </w:r>
      <w:r>
        <w:rPr>
          <w:iCs/>
          <w:i/>
        </w:rPr>
        <w:t xml:space="preserve">19</w:t>
      </w:r>
      <w:r>
        <w:t xml:space="preserve">(1), 1–16.</w:t>
      </w:r>
      <w:r>
        <w:t xml:space="preserve"> </w:t>
      </w:r>
      <w:hyperlink r:id="rId425">
        <w:r>
          <w:rPr>
            <w:rStyle w:val="Hyperlink"/>
          </w:rPr>
          <w:t xml:space="preserve">https://doi.org/10.1007/s10339-017-0840-7</w:t>
        </w:r>
      </w:hyperlink>
    </w:p>
    <w:bookmarkEnd w:id="426"/>
    <w:bookmarkStart w:id="428" w:name="Xc20614634450232b72de235f33b047d0be1d2df"/>
    <w:p>
      <w:pPr>
        <w:pStyle w:val="Bibliography"/>
      </w:pPr>
      <w:r>
        <w:t xml:space="preserve">Wahlheim, C. N., Finn, B., &amp; Jacoby, L. L. (2012). Metacognitive judgments of repetition and variability effects in natural concept learning: Evidence for variability neglect.</w:t>
      </w:r>
      <w:r>
        <w:t xml:space="preserve"> </w:t>
      </w:r>
      <w:r>
        <w:rPr>
          <w:iCs/>
          <w:i/>
        </w:rPr>
        <w:t xml:space="preserve">Memory &amp; Cognition</w:t>
      </w:r>
      <w:r>
        <w:t xml:space="preserve">,</w:t>
      </w:r>
      <w:r>
        <w:t xml:space="preserve"> </w:t>
      </w:r>
      <w:r>
        <w:rPr>
          <w:iCs/>
          <w:i/>
        </w:rPr>
        <w:t xml:space="preserve">40</w:t>
      </w:r>
      <w:r>
        <w:t xml:space="preserve">(5), 703–716.</w:t>
      </w:r>
      <w:r>
        <w:t xml:space="preserve"> </w:t>
      </w:r>
      <w:hyperlink r:id="rId427">
        <w:r>
          <w:rPr>
            <w:rStyle w:val="Hyperlink"/>
          </w:rPr>
          <w:t xml:space="preserve">https://doi.org/10.3758/s13421-011-0180-2</w:t>
        </w:r>
      </w:hyperlink>
    </w:p>
    <w:bookmarkEnd w:id="428"/>
    <w:bookmarkStart w:id="430" w:name="Xa1f5217e32b615353abfd0cc58ec156e1340f18"/>
    <w:p>
      <w:pPr>
        <w:pStyle w:val="Bibliography"/>
      </w:pPr>
      <w:r>
        <w:t xml:space="preserve">Wall, L., Gunawan, D., Brown, S. D., Tran, M.-N., Kohn, R., &amp; Hawkins, G. E. (2021). Identifying relationships between cognitive processes across tasks, contexts, and time.</w:t>
      </w:r>
      <w:r>
        <w:t xml:space="preserve"> </w:t>
      </w:r>
      <w:r>
        <w:rPr>
          <w:iCs/>
          <w:i/>
        </w:rPr>
        <w:t xml:space="preserve">Behavior Research Methods</w:t>
      </w:r>
      <w:r>
        <w:t xml:space="preserve">,</w:t>
      </w:r>
      <w:r>
        <w:t xml:space="preserve"> </w:t>
      </w:r>
      <w:r>
        <w:rPr>
          <w:iCs/>
          <w:i/>
        </w:rPr>
        <w:t xml:space="preserve">53</w:t>
      </w:r>
      <w:r>
        <w:t xml:space="preserve">(1), 78–95.</w:t>
      </w:r>
      <w:r>
        <w:t xml:space="preserve"> </w:t>
      </w:r>
      <w:hyperlink r:id="rId429">
        <w:r>
          <w:rPr>
            <w:rStyle w:val="Hyperlink"/>
          </w:rPr>
          <w:t xml:space="preserve">https://doi.org/10.3758/s13428-020-01405-4</w:t>
        </w:r>
      </w:hyperlink>
    </w:p>
    <w:bookmarkEnd w:id="430"/>
    <w:bookmarkStart w:id="432" w:name="ref-wifallReachingResponseSelection2017"/>
    <w:p>
      <w:pPr>
        <w:pStyle w:val="Bibliography"/>
      </w:pPr>
      <w:r>
        <w:t xml:space="preserve">Wifall, T., Buss, A. T., Farmer, T. A., Spencer, J. P., &amp; Hazeltine, E. (2017). Reaching into response selection:</w:t>
      </w:r>
      <w:r>
        <w:t xml:space="preserve"> </w:t>
      </w:r>
      <w:r>
        <w:t xml:space="preserve">Stimulus</w:t>
      </w:r>
      <w:r>
        <w:t xml:space="preserve"> </w:t>
      </w:r>
      <w:r>
        <w:t xml:space="preserve">and response similarity influence central operations.</w:t>
      </w:r>
      <w:r>
        <w:t xml:space="preserve"> </w:t>
      </w:r>
      <w:r>
        <w:rPr>
          <w:iCs/>
          <w:i/>
        </w:rPr>
        <w:t xml:space="preserve">Journal of Experimental Psychology: Human Perception and Performance</w:t>
      </w:r>
      <w:r>
        <w:t xml:space="preserve">,</w:t>
      </w:r>
      <w:r>
        <w:t xml:space="preserve"> </w:t>
      </w:r>
      <w:r>
        <w:rPr>
          <w:iCs/>
          <w:i/>
        </w:rPr>
        <w:t xml:space="preserve">43</w:t>
      </w:r>
      <w:r>
        <w:t xml:space="preserve">(3), 555–568.</w:t>
      </w:r>
      <w:r>
        <w:t xml:space="preserve"> </w:t>
      </w:r>
      <w:hyperlink r:id="rId431">
        <w:r>
          <w:rPr>
            <w:rStyle w:val="Hyperlink"/>
          </w:rPr>
          <w:t xml:space="preserve">https://doi.org/10.1037/xhp0000301</w:t>
        </w:r>
      </w:hyperlink>
    </w:p>
    <w:bookmarkEnd w:id="432"/>
    <w:bookmarkStart w:id="434" w:name="Xedde1589a4463afc15faa24be41c02163e3402a"/>
    <w:p>
      <w:pPr>
        <w:pStyle w:val="Bibliography"/>
      </w:pPr>
      <w:r>
        <w:t xml:space="preserve">Willey, C. R., &amp; Liu, Z. (2018a). Limited generalization with varied, as compared to specific, practice in short-term motor learning.</w:t>
      </w:r>
      <w:r>
        <w:t xml:space="preserve"> </w:t>
      </w:r>
      <w:r>
        <w:rPr>
          <w:iCs/>
          <w:i/>
        </w:rPr>
        <w:t xml:space="preserve">Acta Psychologica</w:t>
      </w:r>
      <w:r>
        <w:t xml:space="preserve">,</w:t>
      </w:r>
      <w:r>
        <w:t xml:space="preserve"> </w:t>
      </w:r>
      <w:r>
        <w:rPr>
          <w:iCs/>
          <w:i/>
        </w:rPr>
        <w:t xml:space="preserve">182</w:t>
      </w:r>
      <w:r>
        <w:t xml:space="preserve">, 39–45.</w:t>
      </w:r>
      <w:r>
        <w:t xml:space="preserve"> </w:t>
      </w:r>
      <w:hyperlink r:id="rId433">
        <w:r>
          <w:rPr>
            <w:rStyle w:val="Hyperlink"/>
          </w:rPr>
          <w:t xml:space="preserve">https://doi.org/10.1016/j.actpsy.2017.11.008</w:t>
        </w:r>
      </w:hyperlink>
    </w:p>
    <w:bookmarkEnd w:id="434"/>
    <w:bookmarkStart w:id="436" w:name="ref-willeyLongtermMotorLearning2018"/>
    <w:p>
      <w:pPr>
        <w:pStyle w:val="Bibliography"/>
      </w:pPr>
      <w:r>
        <w:t xml:space="preserve">Willey, C. R., &amp; Liu, Z. (2018b). Long-term motor learning:</w:t>
      </w:r>
      <w:r>
        <w:t xml:space="preserve"> </w:t>
      </w:r>
      <w:r>
        <w:t xml:space="preserve">Effects</w:t>
      </w:r>
      <w:r>
        <w:t xml:space="preserve"> </w:t>
      </w:r>
      <w:r>
        <w:t xml:space="preserve">of varied and specific practice.</w:t>
      </w:r>
      <w:r>
        <w:t xml:space="preserve"> </w:t>
      </w:r>
      <w:r>
        <w:rPr>
          <w:iCs/>
          <w:i/>
        </w:rPr>
        <w:t xml:space="preserve">Vision Research</w:t>
      </w:r>
      <w:r>
        <w:t xml:space="preserve">,</w:t>
      </w:r>
      <w:r>
        <w:t xml:space="preserve"> </w:t>
      </w:r>
      <w:r>
        <w:rPr>
          <w:iCs/>
          <w:i/>
        </w:rPr>
        <w:t xml:space="preserve">152</w:t>
      </w:r>
      <w:r>
        <w:t xml:space="preserve">, 10–16.</w:t>
      </w:r>
      <w:r>
        <w:t xml:space="preserve"> </w:t>
      </w:r>
      <w:hyperlink r:id="rId435">
        <w:r>
          <w:rPr>
            <w:rStyle w:val="Hyperlink"/>
          </w:rPr>
          <w:t xml:space="preserve">https://doi.org/10.1016/j.visres.2017.03.012</w:t>
        </w:r>
      </w:hyperlink>
    </w:p>
    <w:bookmarkEnd w:id="436"/>
    <w:bookmarkStart w:id="438" w:name="ref-wonnacottInputEffectsAcquisition2012"/>
    <w:p>
      <w:pPr>
        <w:pStyle w:val="Bibliography"/>
      </w:pPr>
      <w:r>
        <w:t xml:space="preserve">Wonnacott, E., Boyd, J. K., Thomson, J., &amp; Goldberg, A. E. (2012). Input effects on the acquisition of a novel phrasal construction in 5year olds.</w:t>
      </w:r>
      <w:r>
        <w:t xml:space="preserve"> </w:t>
      </w:r>
      <w:r>
        <w:rPr>
          <w:iCs/>
          <w:i/>
        </w:rPr>
        <w:t xml:space="preserve">Journal of Memory and Language</w:t>
      </w:r>
      <w:r>
        <w:t xml:space="preserve">,</w:t>
      </w:r>
      <w:r>
        <w:t xml:space="preserve"> </w:t>
      </w:r>
      <w:r>
        <w:rPr>
          <w:iCs/>
          <w:i/>
        </w:rPr>
        <w:t xml:space="preserve">66</w:t>
      </w:r>
      <w:r>
        <w:t xml:space="preserve">(3), 458–478.</w:t>
      </w:r>
      <w:r>
        <w:t xml:space="preserve"> </w:t>
      </w:r>
      <w:hyperlink r:id="rId437">
        <w:r>
          <w:rPr>
            <w:rStyle w:val="Hyperlink"/>
          </w:rPr>
          <w:t xml:space="preserve">https://doi.org/10.1016/j.jml.2011.11.004</w:t>
        </w:r>
      </w:hyperlink>
    </w:p>
    <w:bookmarkEnd w:id="438"/>
    <w:bookmarkStart w:id="440" w:name="Xc1faf3e1694bc67f4086f5bf946ea1e179ceee4"/>
    <w:p>
      <w:pPr>
        <w:pStyle w:val="Bibliography"/>
      </w:pPr>
      <w:r>
        <w:t xml:space="preserve">Wright, D. L., Li, Y., &amp; Whitacre, C. (1992). The</w:t>
      </w:r>
      <w:r>
        <w:t xml:space="preserve"> </w:t>
      </w:r>
      <w:r>
        <w:t xml:space="preserve">Contribution</w:t>
      </w:r>
      <w:r>
        <w:t xml:space="preserve"> </w:t>
      </w:r>
      <w:r>
        <w:t xml:space="preserve">of</w:t>
      </w:r>
      <w:r>
        <w:t xml:space="preserve"> </w:t>
      </w:r>
      <w:r>
        <w:t xml:space="preserve">Elaborative Processing</w:t>
      </w:r>
      <w:r>
        <w:t xml:space="preserve"> </w:t>
      </w:r>
      <w:r>
        <w:t xml:space="preserve">to the</w:t>
      </w:r>
      <w:r>
        <w:t xml:space="preserve"> </w:t>
      </w:r>
      <w:r>
        <w:t xml:space="preserve">Contextual Interference Effect</w:t>
      </w:r>
      <w:r>
        <w:t xml:space="preserve">.</w:t>
      </w:r>
      <w:r>
        <w:t xml:space="preserve"> </w:t>
      </w:r>
      <w:r>
        <w:rPr>
          <w:iCs/>
          <w:i/>
        </w:rPr>
        <w:t xml:space="preserve">Research Quarterly for Exercise and Sport</w:t>
      </w:r>
      <w:r>
        <w:t xml:space="preserve">,</w:t>
      </w:r>
      <w:r>
        <w:t xml:space="preserve"> </w:t>
      </w:r>
      <w:r>
        <w:rPr>
          <w:iCs/>
          <w:i/>
        </w:rPr>
        <w:t xml:space="preserve">63</w:t>
      </w:r>
      <w:r>
        <w:t xml:space="preserve">(1), 30–37.</w:t>
      </w:r>
      <w:r>
        <w:t xml:space="preserve"> </w:t>
      </w:r>
      <w:hyperlink r:id="rId439">
        <w:r>
          <w:rPr>
            <w:rStyle w:val="Hyperlink"/>
          </w:rPr>
          <w:t xml:space="preserve">https://doi.org/10.1080/02701367.1992.10607554</w:t>
        </w:r>
      </w:hyperlink>
    </w:p>
    <w:bookmarkEnd w:id="440"/>
    <w:bookmarkStart w:id="442" w:name="ref-wrisbergTrainingProductionNovel1984"/>
    <w:p>
      <w:pPr>
        <w:pStyle w:val="Bibliography"/>
      </w:pPr>
      <w:r>
        <w:t xml:space="preserve">Wrisberg, C. A., &amp; McLean, E. (1984). Training for the production of novel timing movements:</w:t>
      </w:r>
      <w:r>
        <w:t xml:space="preserve"> </w:t>
      </w:r>
      <w:r>
        <w:t xml:space="preserve">Contextual</w:t>
      </w:r>
      <w:r>
        <w:t xml:space="preserve"> </w:t>
      </w:r>
      <w:r>
        <w:t xml:space="preserve">considerations.</w:t>
      </w:r>
      <w:r>
        <w:t xml:space="preserve"> </w:t>
      </w:r>
      <w:r>
        <w:rPr>
          <w:iCs/>
          <w:i/>
        </w:rPr>
        <w:t xml:space="preserve">Psychological Research</w:t>
      </w:r>
      <w:r>
        <w:t xml:space="preserve">,</w:t>
      </w:r>
      <w:r>
        <w:t xml:space="preserve"> </w:t>
      </w:r>
      <w:r>
        <w:rPr>
          <w:iCs/>
          <w:i/>
        </w:rPr>
        <w:t xml:space="preserve">46</w:t>
      </w:r>
      <w:r>
        <w:t xml:space="preserve">(1-2), 169–176.</w:t>
      </w:r>
      <w:r>
        <w:t xml:space="preserve"> </w:t>
      </w:r>
      <w:hyperlink r:id="rId441">
        <w:r>
          <w:rPr>
            <w:rStyle w:val="Hyperlink"/>
          </w:rPr>
          <w:t xml:space="preserve">https://doi.org/10.1007/BF00308601</w:t>
        </w:r>
      </w:hyperlink>
    </w:p>
    <w:bookmarkEnd w:id="442"/>
    <w:bookmarkStart w:id="444" w:name="X58e2523dae4b1c5dbcd316e961b03f5be2321b7"/>
    <w:p>
      <w:pPr>
        <w:pStyle w:val="Bibliography"/>
      </w:pPr>
      <w:r>
        <w:t xml:space="preserve">Wrisberg, C. A., &amp; Mead, B. J. (1983). Developing</w:t>
      </w:r>
      <w:r>
        <w:t xml:space="preserve"> </w:t>
      </w:r>
      <w:r>
        <w:t xml:space="preserve">Coincident Timing Skill</w:t>
      </w:r>
      <w:r>
        <w:t xml:space="preserve"> </w:t>
      </w:r>
      <w:r>
        <w:t xml:space="preserve">in</w:t>
      </w:r>
      <w:r>
        <w:t xml:space="preserve"> </w:t>
      </w:r>
      <w:r>
        <w:t xml:space="preserve">Children</w:t>
      </w:r>
      <w:r>
        <w:t xml:space="preserve">:</w:t>
      </w:r>
      <w:r>
        <w:t xml:space="preserve"> </w:t>
      </w:r>
      <w:r>
        <w:t xml:space="preserve">A Comparison</w:t>
      </w:r>
      <w:r>
        <w:t xml:space="preserve"> </w:t>
      </w:r>
      <w:r>
        <w:t xml:space="preserve">of</w:t>
      </w:r>
      <w:r>
        <w:t xml:space="preserve"> </w:t>
      </w:r>
      <w:r>
        <w:t xml:space="preserve">Training Methods</w:t>
      </w:r>
      <w:r>
        <w:t xml:space="preserve">.</w:t>
      </w:r>
      <w:r>
        <w:t xml:space="preserve"> </w:t>
      </w:r>
      <w:r>
        <w:rPr>
          <w:iCs/>
          <w:i/>
        </w:rPr>
        <w:t xml:space="preserve">Research Quarterly for Exercise and Sport</w:t>
      </w:r>
      <w:r>
        <w:t xml:space="preserve">,</w:t>
      </w:r>
      <w:r>
        <w:t xml:space="preserve"> </w:t>
      </w:r>
      <w:r>
        <w:rPr>
          <w:iCs/>
          <w:i/>
        </w:rPr>
        <w:t xml:space="preserve">54</w:t>
      </w:r>
      <w:r>
        <w:t xml:space="preserve">(1), 67–74.</w:t>
      </w:r>
      <w:r>
        <w:t xml:space="preserve"> </w:t>
      </w:r>
      <w:hyperlink r:id="rId443">
        <w:r>
          <w:rPr>
            <w:rStyle w:val="Hyperlink"/>
          </w:rPr>
          <w:t xml:space="preserve">https://doi.org/10.1080/02701367.1983.10605274</w:t>
        </w:r>
      </w:hyperlink>
    </w:p>
    <w:bookmarkEnd w:id="444"/>
    <w:bookmarkStart w:id="446" w:name="X05a5acade1fdd8bd616f6380d0ca460d0ffe88c"/>
    <w:p>
      <w:pPr>
        <w:pStyle w:val="Bibliography"/>
      </w:pPr>
      <w:r>
        <w:t xml:space="preserve">Wrisberg, C. A., Winter, T. P., &amp; Kuhlman, J. S. (1987). The</w:t>
      </w:r>
      <w:r>
        <w:t xml:space="preserve"> </w:t>
      </w:r>
      <w:r>
        <w:t xml:space="preserve">Variability</w:t>
      </w:r>
      <w:r>
        <w:t xml:space="preserve"> </w:t>
      </w:r>
      <w:r>
        <w:t xml:space="preserve">of</w:t>
      </w:r>
      <w:r>
        <w:t xml:space="preserve"> </w:t>
      </w:r>
      <w:r>
        <w:t xml:space="preserve">Practice Hypothesis</w:t>
      </w:r>
      <w:r>
        <w:t xml:space="preserve">:</w:t>
      </w:r>
      <w:r>
        <w:t xml:space="preserve"> </w:t>
      </w:r>
      <w:r>
        <w:t xml:space="preserve">Further Tests</w:t>
      </w:r>
      <w:r>
        <w:t xml:space="preserve"> </w:t>
      </w:r>
      <w:r>
        <w:t xml:space="preserve">and</w:t>
      </w:r>
      <w:r>
        <w:t xml:space="preserve"> </w:t>
      </w:r>
      <w:r>
        <w:t xml:space="preserve">Methodological Discussion</w:t>
      </w:r>
      <w:r>
        <w:t xml:space="preserve">.</w:t>
      </w:r>
      <w:r>
        <w:t xml:space="preserve"> </w:t>
      </w:r>
      <w:r>
        <w:rPr>
          <w:iCs/>
          <w:i/>
        </w:rPr>
        <w:t xml:space="preserve">Research Quarterly for Exercise and Sport</w:t>
      </w:r>
      <w:r>
        <w:t xml:space="preserve">,</w:t>
      </w:r>
      <w:r>
        <w:t xml:space="preserve"> </w:t>
      </w:r>
      <w:r>
        <w:rPr>
          <w:iCs/>
          <w:i/>
        </w:rPr>
        <w:t xml:space="preserve">58</w:t>
      </w:r>
      <w:r>
        <w:t xml:space="preserve">(4), 369–374.</w:t>
      </w:r>
      <w:r>
        <w:t xml:space="preserve"> </w:t>
      </w:r>
      <w:hyperlink r:id="rId445">
        <w:r>
          <w:rPr>
            <w:rStyle w:val="Hyperlink"/>
          </w:rPr>
          <w:t xml:space="preserve">https://doi.org/10.1080/02701367.1987.10608114</w:t>
        </w:r>
      </w:hyperlink>
    </w:p>
    <w:bookmarkEnd w:id="446"/>
    <w:bookmarkStart w:id="448" w:name="ref-wuSimilaritiesDifferencesSpatial2020"/>
    <w:p>
      <w:pPr>
        <w:pStyle w:val="Bibliography"/>
      </w:pPr>
      <w:r>
        <w:t xml:space="preserve">Wu, C. M., Schulz, E., Garvert, M. M., Meder, B., &amp; Schuck, N. W. (2020). Similarities and differences in spatial and non-spatial cognitive maps.</w:t>
      </w:r>
      <w:r>
        <w:t xml:space="preserve"> </w:t>
      </w:r>
      <w:r>
        <w:rPr>
          <w:iCs/>
          <w:i/>
        </w:rPr>
        <w:t xml:space="preserve">PLOS Computational Biology</w:t>
      </w:r>
      <w:r>
        <w:t xml:space="preserve">,</w:t>
      </w:r>
      <w:r>
        <w:t xml:space="preserve"> </w:t>
      </w:r>
      <w:r>
        <w:rPr>
          <w:iCs/>
          <w:i/>
        </w:rPr>
        <w:t xml:space="preserve">16</w:t>
      </w:r>
      <w:r>
        <w:t xml:space="preserve">(9).</w:t>
      </w:r>
      <w:r>
        <w:t xml:space="preserve"> </w:t>
      </w:r>
      <w:hyperlink r:id="rId447">
        <w:r>
          <w:rPr>
            <w:rStyle w:val="Hyperlink"/>
          </w:rPr>
          <w:t xml:space="preserve">https://doi.org/10.1101/2020.01.21.914556</w:t>
        </w:r>
      </w:hyperlink>
    </w:p>
    <w:bookmarkEnd w:id="448"/>
    <w:bookmarkStart w:id="450" w:name="ref-wulfEffectTypePractice1991"/>
    <w:p>
      <w:pPr>
        <w:pStyle w:val="Bibliography"/>
      </w:pPr>
      <w:r>
        <w:t xml:space="preserve">Wulf, G. (1991). The effect of type of practice on motor learning in children.</w:t>
      </w:r>
      <w:r>
        <w:t xml:space="preserve"> </w:t>
      </w:r>
      <w:r>
        <w:rPr>
          <w:iCs/>
          <w:i/>
        </w:rPr>
        <w:t xml:space="preserve">Applied Cognitive Psychology</w:t>
      </w:r>
      <w:r>
        <w:t xml:space="preserve">,</w:t>
      </w:r>
      <w:r>
        <w:t xml:space="preserve"> </w:t>
      </w:r>
      <w:r>
        <w:rPr>
          <w:iCs/>
          <w:i/>
        </w:rPr>
        <w:t xml:space="preserve">5</w:t>
      </w:r>
      <w:r>
        <w:t xml:space="preserve">(2), 123–134.</w:t>
      </w:r>
      <w:r>
        <w:t xml:space="preserve"> </w:t>
      </w:r>
      <w:hyperlink r:id="rId449">
        <w:r>
          <w:rPr>
            <w:rStyle w:val="Hyperlink"/>
          </w:rPr>
          <w:t xml:space="preserve">https://doi.org/10.1002/acp.2350050206</w:t>
        </w:r>
      </w:hyperlink>
    </w:p>
    <w:bookmarkEnd w:id="450"/>
    <w:bookmarkStart w:id="451" w:name="ref-wulfVariabilityPracticeImplicit1997"/>
    <w:p>
      <w:pPr>
        <w:pStyle w:val="Bibliography"/>
      </w:pPr>
      <w:r>
        <w:t xml:space="preserve">Wulf, G., &amp; Schmidt, R. A. (1997).</w:t>
      </w:r>
      <w:r>
        <w:t xml:space="preserve"> </w:t>
      </w:r>
      <w:r>
        <w:rPr>
          <w:iCs/>
          <w:i/>
        </w:rPr>
        <w:t xml:space="preserve">Variability of</w:t>
      </w:r>
      <w:r>
        <w:rPr>
          <w:iCs/>
          <w:i/>
        </w:rPr>
        <w:t xml:space="preserve"> </w:t>
      </w:r>
      <w:r>
        <w:rPr>
          <w:iCs/>
          <w:i/>
        </w:rPr>
        <w:t xml:space="preserve">Practice</w:t>
      </w:r>
      <w:r>
        <w:rPr>
          <w:iCs/>
          <w:i/>
        </w:rPr>
        <w:t xml:space="preserve"> </w:t>
      </w:r>
      <w:r>
        <w:rPr>
          <w:iCs/>
          <w:i/>
        </w:rPr>
        <w:t xml:space="preserve">and</w:t>
      </w:r>
      <w:r>
        <w:rPr>
          <w:iCs/>
          <w:i/>
        </w:rPr>
        <w:t xml:space="preserve"> </w:t>
      </w:r>
      <w:r>
        <w:rPr>
          <w:iCs/>
          <w:i/>
        </w:rPr>
        <w:t xml:space="preserve">Implicit Motor Learning</w:t>
      </w:r>
      <w:r>
        <w:t xml:space="preserve">.</w:t>
      </w:r>
    </w:p>
    <w:bookmarkEnd w:id="451"/>
    <w:bookmarkStart w:id="453" w:name="ref-yangGeneralLearningAbility2020"/>
    <w:p>
      <w:pPr>
        <w:pStyle w:val="Bibliography"/>
      </w:pPr>
      <w:r>
        <w:t xml:space="preserve">Yang, J., Yan, F.-F., Chen, L., Xi, J., Fan, S., Zhang, P., Lu, Z.-L., &amp; Huang, C.-B. (2020). General learning ability in perceptual learning.</w:t>
      </w:r>
      <w:r>
        <w:t xml:space="preserve"> </w:t>
      </w:r>
      <w:r>
        <w:rPr>
          <w:iCs/>
          <w:i/>
        </w:rPr>
        <w:t xml:space="preserve">Proceedings of the National Academy of Sciences</w:t>
      </w:r>
      <w:r>
        <w:t xml:space="preserve">,</w:t>
      </w:r>
      <w:r>
        <w:t xml:space="preserve"> </w:t>
      </w:r>
      <w:r>
        <w:rPr>
          <w:iCs/>
          <w:i/>
        </w:rPr>
        <w:t xml:space="preserve">117</w:t>
      </w:r>
      <w:r>
        <w:t xml:space="preserve">(32), 19092–19100.</w:t>
      </w:r>
      <w:r>
        <w:t xml:space="preserve"> </w:t>
      </w:r>
      <w:hyperlink r:id="rId452">
        <w:r>
          <w:rPr>
            <w:rStyle w:val="Hyperlink"/>
          </w:rPr>
          <w:t xml:space="preserve">https://doi.org/10.1073/pnas.2002903117</w:t>
        </w:r>
      </w:hyperlink>
    </w:p>
    <w:bookmarkEnd w:id="453"/>
    <w:bookmarkStart w:id="455" w:name="Xea24fb841ed3c121e2d9fcd335e33f8b38a7184"/>
    <w:p>
      <w:pPr>
        <w:pStyle w:val="Bibliography"/>
      </w:pPr>
      <w:r>
        <w:t xml:space="preserve">Zaman, J., Chalkia, A., Zenses, A.-K., Bilgin, A. S., Beckers, T., Vervliet, B., &amp; Boddez, Y. (2021). Perceptual variability:</w:t>
      </w:r>
      <w:r>
        <w:t xml:space="preserve"> </w:t>
      </w:r>
      <w:r>
        <w:t xml:space="preserve">Implications</w:t>
      </w:r>
      <w:r>
        <w:t xml:space="preserve"> </w:t>
      </w:r>
      <w:r>
        <w:t xml:space="preserve">for learning and generalization.</w:t>
      </w:r>
      <w:r>
        <w:t xml:space="preserve"> </w:t>
      </w:r>
      <w:r>
        <w:rPr>
          <w:iCs/>
          <w:i/>
        </w:rPr>
        <w:t xml:space="preserve">Psychonomic Bulletin &amp; Review</w:t>
      </w:r>
      <w:r>
        <w:t xml:space="preserve">,</w:t>
      </w:r>
      <w:r>
        <w:t xml:space="preserve"> </w:t>
      </w:r>
      <w:r>
        <w:rPr>
          <w:iCs/>
          <w:i/>
        </w:rPr>
        <w:t xml:space="preserve">28</w:t>
      </w:r>
      <w:r>
        <w:t xml:space="preserve">(1), 1–19.</w:t>
      </w:r>
      <w:r>
        <w:t xml:space="preserve"> </w:t>
      </w:r>
      <w:hyperlink r:id="rId454">
        <w:r>
          <w:rPr>
            <w:rStyle w:val="Hyperlink"/>
          </w:rPr>
          <w:t xml:space="preserve">https://doi.org/10.3758/s13423-020-01780-1</w:t>
        </w:r>
      </w:hyperlink>
    </w:p>
    <w:bookmarkEnd w:id="455"/>
    <w:bookmarkEnd w:id="456"/>
    <w:bookmarkEnd w:id="457"/>
    <w:bookmarkEnd w:id="458"/>
    <w:bookmarkEnd w:id="4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89" Target="media/rId89.png" /><Relationship Type="http://schemas.openxmlformats.org/officeDocument/2006/relationships/image" Id="rId132" Target="media/rId132.png" /><Relationship Type="http://schemas.openxmlformats.org/officeDocument/2006/relationships/hyperlink" Id="rId449" Target="https://doi.org/10.1002/acp.2350050206" TargetMode="External" /><Relationship Type="http://schemas.openxmlformats.org/officeDocument/2006/relationships/hyperlink" Id="rId226" Target="https://doi.org/10.1002/j.2333-8504.1963.tb00958.x" TargetMode="External" /><Relationship Type="http://schemas.openxmlformats.org/officeDocument/2006/relationships/hyperlink" Id="rId441" Target="https://doi.org/10.1007/BF00308601" TargetMode="External" /><Relationship Type="http://schemas.openxmlformats.org/officeDocument/2006/relationships/hyperlink" Id="rId357" Target="https://doi.org/10.1007/BF03543066" TargetMode="External" /><Relationship Type="http://schemas.openxmlformats.org/officeDocument/2006/relationships/hyperlink" Id="rId248" Target="https://doi.org/10.1007/s00221-004-1862-9" TargetMode="External" /><Relationship Type="http://schemas.openxmlformats.org/officeDocument/2006/relationships/hyperlink" Id="rId386" Target="https://doi.org/10.1007/s00426-018-1006-7" TargetMode="External" /><Relationship Type="http://schemas.openxmlformats.org/officeDocument/2006/relationships/hyperlink" Id="rId425" Target="https://doi.org/10.1007/s10339-017-0840-7" TargetMode="External" /><Relationship Type="http://schemas.openxmlformats.org/officeDocument/2006/relationships/hyperlink" Id="rId401" Target="https://doi.org/10.1016/0001-6918(90)90076-R" TargetMode="External" /><Relationship Type="http://schemas.openxmlformats.org/officeDocument/2006/relationships/hyperlink" Id="rId261" Target="https://doi.org/10.1016/0022-2496(88)90023-5" TargetMode="External" /><Relationship Type="http://schemas.openxmlformats.org/officeDocument/2006/relationships/hyperlink" Id="rId220" Target="https://doi.org/10.1016/0030-5073(74)90002-6" TargetMode="External" /><Relationship Type="http://schemas.openxmlformats.org/officeDocument/2006/relationships/hyperlink" Id="rId329" Target="https://doi.org/10.1016/0167-9457(90)90005-X" TargetMode="External" /><Relationship Type="http://schemas.openxmlformats.org/officeDocument/2006/relationships/hyperlink" Id="rId423" Target="https://doi.org/10.1016/0167-9457(90)90010-B" TargetMode="External" /><Relationship Type="http://schemas.openxmlformats.org/officeDocument/2006/relationships/hyperlink" Id="rId206" Target="https://doi.org/10.1016/S0001-6918(98)00022-5" TargetMode="External" /><Relationship Type="http://schemas.openxmlformats.org/officeDocument/2006/relationships/hyperlink" Id="rId404" Target="https://doi.org/10.1016/S0166-4115(08)61998-6" TargetMode="External" /><Relationship Type="http://schemas.openxmlformats.org/officeDocument/2006/relationships/hyperlink" Id="rId380" Target="https://doi.org/10.1016/S0926-6410(01)00077-5" TargetMode="External" /><Relationship Type="http://schemas.openxmlformats.org/officeDocument/2006/relationships/hyperlink" Id="rId433" Target="https://doi.org/10.1016/j.actpsy.2017.11.008" TargetMode="External" /><Relationship Type="http://schemas.openxmlformats.org/officeDocument/2006/relationships/hyperlink" Id="rId390" Target="https://doi.org/10.1016/j.actpsy.2021.103356" TargetMode="External" /><Relationship Type="http://schemas.openxmlformats.org/officeDocument/2006/relationships/hyperlink" Id="rId222" Target="https://doi.org/10.1016/j.cognition.2010.10.004" TargetMode="External" /><Relationship Type="http://schemas.openxmlformats.org/officeDocument/2006/relationships/hyperlink" Id="rId314" Target="https://doi.org/10.1016/j.cognition.2019.104026" TargetMode="External" /><Relationship Type="http://schemas.openxmlformats.org/officeDocument/2006/relationships/hyperlink" Id="rId242" Target="https://doi.org/10.1016/j.cogpsych.2021.101406" TargetMode="External" /><Relationship Type="http://schemas.openxmlformats.org/officeDocument/2006/relationships/hyperlink" Id="rId218" Target="https://doi.org/10.1016/j.cub.2009.01.036" TargetMode="External" /><Relationship Type="http://schemas.openxmlformats.org/officeDocument/2006/relationships/hyperlink" Id="rId240" Target="https://doi.org/10.1016/j.humov.2019.02.015" TargetMode="External" /><Relationship Type="http://schemas.openxmlformats.org/officeDocument/2006/relationships/hyperlink" Id="rId437" Target="https://doi.org/10.1016/j.jml.2011.11.004" TargetMode="External" /><Relationship Type="http://schemas.openxmlformats.org/officeDocument/2006/relationships/hyperlink" Id="rId363" Target="https://doi.org/10.1016/j.visres.2007.11.019" TargetMode="External" /><Relationship Type="http://schemas.openxmlformats.org/officeDocument/2006/relationships/hyperlink" Id="rId435" Target="https://doi.org/10.1016/j.visres.2017.03.012" TargetMode="External" /><Relationship Type="http://schemas.openxmlformats.org/officeDocument/2006/relationships/hyperlink" Id="rId415" Target="https://doi.org/10.1017/S0140525X01000061" TargetMode="External" /><Relationship Type="http://schemas.openxmlformats.org/officeDocument/2006/relationships/hyperlink" Id="rId408" Target="https://doi.org/10.1017/S0272263119000263" TargetMode="External" /><Relationship Type="http://schemas.openxmlformats.org/officeDocument/2006/relationships/hyperlink" Id="rId208" Target="https://doi.org/10.1037//0033-2909.128.4.612" TargetMode="External" /><Relationship Type="http://schemas.openxmlformats.org/officeDocument/2006/relationships/hyperlink" Id="rId384" Target="https://doi.org/10.1037/0033-295X.102.1.28" TargetMode="External" /><Relationship Type="http://schemas.openxmlformats.org/officeDocument/2006/relationships/hyperlink" Id="rId325" Target="https://doi.org/10.1037/0033-295X.109.2.376" TargetMode="External" /><Relationship Type="http://schemas.openxmlformats.org/officeDocument/2006/relationships/hyperlink" Id="rId300" Target="https://doi.org/10.1037/0033-295X.111.4.1072" TargetMode="External" /><Relationship Type="http://schemas.openxmlformats.org/officeDocument/2006/relationships/hyperlink" Id="rId341" Target="https://doi.org/10.1037/0033-295X.85.3.207" TargetMode="External" /><Relationship Type="http://schemas.openxmlformats.org/officeDocument/2006/relationships/hyperlink" Id="rId323" Target="https://doi.org/10.1037/0033-295X.95.4.492" TargetMode="External" /><Relationship Type="http://schemas.openxmlformats.org/officeDocument/2006/relationships/hyperlink" Id="rId308" Target="https://doi.org/10.1037/0033-295X.99.1.22" TargetMode="External" /><Relationship Type="http://schemas.openxmlformats.org/officeDocument/2006/relationships/hyperlink" Id="rId353" Target="https://doi.org/10.1037/0096-3445.115.1.39" TargetMode="External" /><Relationship Type="http://schemas.openxmlformats.org/officeDocument/2006/relationships/hyperlink" Id="rId306" Target="https://doi.org/10.1037/0278-7393.17.5.811" TargetMode="External" /><Relationship Type="http://schemas.openxmlformats.org/officeDocument/2006/relationships/hyperlink" Id="rId291" Target="https://doi.org/10.1037/0278-7393.2.3.322" TargetMode="External" /><Relationship Type="http://schemas.openxmlformats.org/officeDocument/2006/relationships/hyperlink" Id="rId310" Target="https://doi.org/10.1037/0278-7393.20.5.1003" TargetMode="External" /><Relationship Type="http://schemas.openxmlformats.org/officeDocument/2006/relationships/hyperlink" Id="rId258" Target="https://doi.org/10.1037/0278-7393.23.4.968" TargetMode="External" /><Relationship Type="http://schemas.openxmlformats.org/officeDocument/2006/relationships/hyperlink" Id="rId374" Target="https://doi.org/10.1037/0278-7393.25.1.208" TargetMode="External" /><Relationship Type="http://schemas.openxmlformats.org/officeDocument/2006/relationships/hyperlink" Id="rId214" Target="https://doi.org/10.1037/0278-7393.30.1.38" TargetMode="External" /><Relationship Type="http://schemas.openxmlformats.org/officeDocument/2006/relationships/hyperlink" Id="rId337" Target="https://doi.org/10.1037/a0013982" TargetMode="External" /><Relationship Type="http://schemas.openxmlformats.org/officeDocument/2006/relationships/hyperlink" Id="rId252" Target="https://doi.org/10.1037/a0018390" TargetMode="External" /><Relationship Type="http://schemas.openxmlformats.org/officeDocument/2006/relationships/hyperlink" Id="rId287" Target="https://doi.org/10.1037/a0020666" TargetMode="External" /><Relationship Type="http://schemas.openxmlformats.org/officeDocument/2006/relationships/hyperlink" Id="rId339" Target="https://doi.org/10.1037/a0032184" TargetMode="External" /><Relationship Type="http://schemas.openxmlformats.org/officeDocument/2006/relationships/hyperlink" Id="rId376" Target="https://doi.org/10.1037/h0025953" TargetMode="External" /><Relationship Type="http://schemas.openxmlformats.org/officeDocument/2006/relationships/hyperlink" Id="rId395" Target="https://doi.org/10.1037/h0076770" TargetMode="External" /><Relationship Type="http://schemas.openxmlformats.org/officeDocument/2006/relationships/hyperlink" Id="rId359" Target="https://doi.org/10.1037/xge0000369" TargetMode="External" /><Relationship Type="http://schemas.openxmlformats.org/officeDocument/2006/relationships/hyperlink" Id="rId431" Target="https://doi.org/10.1037/xhp0000301" TargetMode="External" /><Relationship Type="http://schemas.openxmlformats.org/officeDocument/2006/relationships/hyperlink" Id="rId230" Target="https://doi.org/10.1037/xlm0000406" TargetMode="External" /><Relationship Type="http://schemas.openxmlformats.org/officeDocument/2006/relationships/hyperlink" Id="rId234" Target="https://doi.org/10.1038/nrn3315" TargetMode="External" /><Relationship Type="http://schemas.openxmlformats.org/officeDocument/2006/relationships/hyperlink" Id="rId296" Target="https://doi.org/10.1038/s44159-022-00025-3" TargetMode="External" /><Relationship Type="http://schemas.openxmlformats.org/officeDocument/2006/relationships/hyperlink" Id="rId452" Target="https://doi.org/10.1073/pnas.2002903117" TargetMode="External" /><Relationship Type="http://schemas.openxmlformats.org/officeDocument/2006/relationships/hyperlink" Id="rId268" Target="https://doi.org/10.1073/pnas.93.9.3843" TargetMode="External" /><Relationship Type="http://schemas.openxmlformats.org/officeDocument/2006/relationships/hyperlink" Id="rId349" Target="https://doi.org/10.1080/00222895.1976.10735077" TargetMode="External" /><Relationship Type="http://schemas.openxmlformats.org/officeDocument/2006/relationships/hyperlink" Id="rId335" Target="https://doi.org/10.1080/00222895.1977.10735109" TargetMode="External" /><Relationship Type="http://schemas.openxmlformats.org/officeDocument/2006/relationships/hyperlink" Id="rId345" Target="https://doi.org/10.1080/00222895.1979.10735173" TargetMode="External" /><Relationship Type="http://schemas.openxmlformats.org/officeDocument/2006/relationships/hyperlink" Id="rId321" Target="https://doi.org/10.1080/00222895.1985.10735350" TargetMode="External" /><Relationship Type="http://schemas.openxmlformats.org/officeDocument/2006/relationships/hyperlink" Id="rId236" Target="https://doi.org/10.1080/00222895.1992.9941617" TargetMode="External" /><Relationship Type="http://schemas.openxmlformats.org/officeDocument/2006/relationships/hyperlink" Id="rId238" Target="https://doi.org/10.1080/00222895.1992.9941627" TargetMode="External" /><Relationship Type="http://schemas.openxmlformats.org/officeDocument/2006/relationships/hyperlink" Id="rId351" Target="https://doi.org/10.1080/02640414.2018.1522683" TargetMode="External" /><Relationship Type="http://schemas.openxmlformats.org/officeDocument/2006/relationships/hyperlink" Id="rId256" Target="https://doi.org/10.1080/02701367.1982.10605236" TargetMode="External" /><Relationship Type="http://schemas.openxmlformats.org/officeDocument/2006/relationships/hyperlink" Id="rId443" Target="https://doi.org/10.1080/02701367.1983.10605274" TargetMode="External" /><Relationship Type="http://schemas.openxmlformats.org/officeDocument/2006/relationships/hyperlink" Id="rId372" Target="https://doi.org/10.1080/02701367.1984.10605353" TargetMode="External" /><Relationship Type="http://schemas.openxmlformats.org/officeDocument/2006/relationships/hyperlink" Id="rId445" Target="https://doi.org/10.1080/02701367.1987.10608114" TargetMode="External" /><Relationship Type="http://schemas.openxmlformats.org/officeDocument/2006/relationships/hyperlink" Id="rId439" Target="https://doi.org/10.1080/02701367.1992.10607554" TargetMode="External" /><Relationship Type="http://schemas.openxmlformats.org/officeDocument/2006/relationships/hyperlink" Id="rId312" Target="https://doi.org/10.1080/02701367.1997.10608017" TargetMode="External" /><Relationship Type="http://schemas.openxmlformats.org/officeDocument/2006/relationships/hyperlink" Id="rId347" Target="https://doi.org/10.1080/02701367.2003.10609108" TargetMode="External" /><Relationship Type="http://schemas.openxmlformats.org/officeDocument/2006/relationships/hyperlink" Id="rId366" Target="https://doi.org/10.1080/02724980042000084" TargetMode="External" /><Relationship Type="http://schemas.openxmlformats.org/officeDocument/2006/relationships/hyperlink" Id="rId216" Target="https://doi.org/10.1080/07370008.2015.1067215" TargetMode="External" /><Relationship Type="http://schemas.openxmlformats.org/officeDocument/2006/relationships/hyperlink" Id="rId274" Target="https://doi.org/10.1080/20445911.2011.507187" TargetMode="External" /><Relationship Type="http://schemas.openxmlformats.org/officeDocument/2006/relationships/hyperlink" Id="rId368" Target="https://doi.org/10.1080/20445911.2011.613818" TargetMode="External" /><Relationship Type="http://schemas.openxmlformats.org/officeDocument/2006/relationships/hyperlink" Id="rId343" Target="https://doi.org/10.1080/23311908.2018.1493714" TargetMode="External" /><Relationship Type="http://schemas.openxmlformats.org/officeDocument/2006/relationships/hyperlink" Id="rId293" Target="https://doi.org/10.1080/713756773" TargetMode="External" /><Relationship Type="http://schemas.openxmlformats.org/officeDocument/2006/relationships/hyperlink" Id="rId447" Target="https://doi.org/10.1101/2020.01.21.914556" TargetMode="External" /><Relationship Type="http://schemas.openxmlformats.org/officeDocument/2006/relationships/hyperlink" Id="rId419" Target="https://doi.org/10.1111/cogs.12539" TargetMode="External" /><Relationship Type="http://schemas.openxmlformats.org/officeDocument/2006/relationships/hyperlink" Id="rId298" Target="https://doi.org/10.1111/cogs.12812" TargetMode="External" /><Relationship Type="http://schemas.openxmlformats.org/officeDocument/2006/relationships/hyperlink" Id="rId316" Target="https://doi.org/10.1111/j.1756-8765.2009.01044.x" TargetMode="External" /><Relationship Type="http://schemas.openxmlformats.org/officeDocument/2006/relationships/hyperlink" Id="rId250" Target="https://doi.org/10.1111/j.2044-8317.2011.02016.x" TargetMode="External" /><Relationship Type="http://schemas.openxmlformats.org/officeDocument/2006/relationships/hyperlink" Id="rId406" Target="https://doi.org/10.1126/science.3629243" TargetMode="External" /><Relationship Type="http://schemas.openxmlformats.org/officeDocument/2006/relationships/hyperlink" Id="rId355" Target="https://doi.org/10.1146/annurev.ps.43.020192.000325" TargetMode="External" /><Relationship Type="http://schemas.openxmlformats.org/officeDocument/2006/relationships/hyperlink" Id="rId382" Target="https://doi.org/10.1146/annurev.psych.52.1.453" TargetMode="External" /><Relationship Type="http://schemas.openxmlformats.org/officeDocument/2006/relationships/hyperlink" Id="rId211" Target="https://doi.org/10.1152/jn.00615.2013" TargetMode="External" /><Relationship Type="http://schemas.openxmlformats.org/officeDocument/2006/relationships/hyperlink" Id="rId398" Target="https://doi.org/10.1162/opmi_a_00032" TargetMode="External" /><Relationship Type="http://schemas.openxmlformats.org/officeDocument/2006/relationships/hyperlink" Id="rId302" Target="https://doi.org/10.1167/9.7.16" TargetMode="External" /><Relationship Type="http://schemas.openxmlformats.org/officeDocument/2006/relationships/hyperlink" Id="rId304" Target="https://doi.org/10.1177/003151257804600201" TargetMode="External" /><Relationship Type="http://schemas.openxmlformats.org/officeDocument/2006/relationships/hyperlink" Id="rId370" Target="https://doi.org/10.1177/0956797610389189" TargetMode="External" /><Relationship Type="http://schemas.openxmlformats.org/officeDocument/2006/relationships/hyperlink" Id="rId410" Target="https://doi.org/10.1177/1745691615569000" TargetMode="External" /><Relationship Type="http://schemas.openxmlformats.org/officeDocument/2006/relationships/hyperlink" Id="rId318" Target="https://doi.org/10.1177/1747021819857065" TargetMode="External" /><Relationship Type="http://schemas.openxmlformats.org/officeDocument/2006/relationships/hyperlink" Id="rId266" Target="https://doi.org/10.1371/journal.pcbi.1003425" TargetMode="External" /><Relationship Type="http://schemas.openxmlformats.org/officeDocument/2006/relationships/hyperlink" Id="rId421" Target="https://doi.org/10.1371/journal.pcbi.1004172" TargetMode="External" /><Relationship Type="http://schemas.openxmlformats.org/officeDocument/2006/relationships/hyperlink" Id="rId272" Target="https://doi.org/10.1523/JNEUROSCI.16-21-07085.1996" TargetMode="External" /><Relationship Type="http://schemas.openxmlformats.org/officeDocument/2006/relationships/hyperlink" Id="rId417" Target="https://doi.org/10.1523/JNEUROSCI.1771-05.2005" TargetMode="External" /><Relationship Type="http://schemas.openxmlformats.org/officeDocument/2006/relationships/hyperlink" Id="rId224" Target="https://doi.org/10.18637/jss.v080.i01" TargetMode="External" /><Relationship Type="http://schemas.openxmlformats.org/officeDocument/2006/relationships/hyperlink" Id="rId331" Target="https://doi.org/10.21105/joss.01541" TargetMode="External" /><Relationship Type="http://schemas.openxmlformats.org/officeDocument/2006/relationships/hyperlink" Id="rId244" Target="https://doi.org/10.21105/joss.02535" TargetMode="External" /><Relationship Type="http://schemas.openxmlformats.org/officeDocument/2006/relationships/hyperlink" Id="rId232" Target="https://doi.org/10.2466/pms.1984.58.3.851" TargetMode="External" /><Relationship Type="http://schemas.openxmlformats.org/officeDocument/2006/relationships/hyperlink" Id="rId280" Target="https://doi.org/10.2466/pms.1995.81.3f.1275" TargetMode="External" /><Relationship Type="http://schemas.openxmlformats.org/officeDocument/2006/relationships/hyperlink" Id="rId278" Target="https://doi.org/10.2466/pms.1998.87.1.147" TargetMode="External" /><Relationship Type="http://schemas.openxmlformats.org/officeDocument/2006/relationships/hyperlink" Id="rId283" Target="https://doi.org/10.3200/JMBR.36.2.212-224" TargetMode="External" /><Relationship Type="http://schemas.openxmlformats.org/officeDocument/2006/relationships/hyperlink" Id="rId333" Target="https://doi.org/10.3389/fncom.2013.00100" TargetMode="External" /><Relationship Type="http://schemas.openxmlformats.org/officeDocument/2006/relationships/hyperlink" Id="rId412" Target="https://doi.org/10.3389/fnhum.2013.00171" TargetMode="External" /><Relationship Type="http://schemas.openxmlformats.org/officeDocument/2006/relationships/hyperlink" Id="rId388" Target="https://doi.org/10.3389/fpsyg.2014.01318" TargetMode="External" /><Relationship Type="http://schemas.openxmlformats.org/officeDocument/2006/relationships/hyperlink" Id="rId254" Target="https://doi.org/10.3389/fpsyg.2021.639131" TargetMode="External" /><Relationship Type="http://schemas.openxmlformats.org/officeDocument/2006/relationships/hyperlink" Id="rId285" Target="https://doi.org/10.3758/BF03195318" TargetMode="External" /><Relationship Type="http://schemas.openxmlformats.org/officeDocument/2006/relationships/hyperlink" Id="rId289" Target="https://doi.org/10.3758/BF03202365" TargetMode="External" /><Relationship Type="http://schemas.openxmlformats.org/officeDocument/2006/relationships/hyperlink" Id="rId246" Target="https://doi.org/10.3758/BF03206386" TargetMode="External" /><Relationship Type="http://schemas.openxmlformats.org/officeDocument/2006/relationships/hyperlink" Id="rId264" Target="https://doi.org/10.3758/BRM.41.4.1149" TargetMode="External" /><Relationship Type="http://schemas.openxmlformats.org/officeDocument/2006/relationships/hyperlink" Id="rId392" Target="https://doi.org/10.3758/MC.36.6.1057" TargetMode="External" /><Relationship Type="http://schemas.openxmlformats.org/officeDocument/2006/relationships/hyperlink" Id="rId276" Target="https://doi.org/10.3758/PBR.15.3.662" TargetMode="External" /><Relationship Type="http://schemas.openxmlformats.org/officeDocument/2006/relationships/hyperlink" Id="rId327" Target="https://doi.org/10.3758/s13414-011-0101-2" TargetMode="External" /><Relationship Type="http://schemas.openxmlformats.org/officeDocument/2006/relationships/hyperlink" Id="rId270" Target="https://doi.org/10.3758/s13414-021-02338-6" TargetMode="External" /><Relationship Type="http://schemas.openxmlformats.org/officeDocument/2006/relationships/hyperlink" Id="rId427" Target="https://doi.org/10.3758/s13421-011-0180-2" TargetMode="External" /><Relationship Type="http://schemas.openxmlformats.org/officeDocument/2006/relationships/hyperlink" Id="rId228" Target="https://doi.org/10.3758/s13421-013-0371-0" TargetMode="External" /><Relationship Type="http://schemas.openxmlformats.org/officeDocument/2006/relationships/hyperlink" Id="rId361" Target="https://doi.org/10.3758/s13423-018-1508-8" TargetMode="External" /><Relationship Type="http://schemas.openxmlformats.org/officeDocument/2006/relationships/hyperlink" Id="rId454" Target="https://doi.org/10.3758/s13423-020-01780-1" TargetMode="External" /><Relationship Type="http://schemas.openxmlformats.org/officeDocument/2006/relationships/hyperlink" Id="rId378" Target="https://doi.org/10.3758/s13423-021-01878-0" TargetMode="External" /><Relationship Type="http://schemas.openxmlformats.org/officeDocument/2006/relationships/hyperlink" Id="rId429" Target="https://doi.org/10.3758/s13428-020-01405-4" TargetMode="External" /><Relationship Type="http://schemas.openxmlformats.org/officeDocument/2006/relationships/hyperlink" Id="rId87" Target="https://pcl.sitehost.iu.edu/tg/HTW/HTW_Index.html?sonaid=" TargetMode="External" /><Relationship Type="http://schemas.openxmlformats.org/officeDocument/2006/relationships/hyperlink" Id="rId43" Target="https://pcl.sitehost.iu.edu/tg/demos/igas_expt1_demo.html" TargetMode="External" /></Relationships>
</file>

<file path=word/_rels/footnotes.xml.rels><?xml version="1.0" encoding="UTF-8"?><Relationships xmlns="http://schemas.openxmlformats.org/package/2006/relationships"><Relationship Type="http://schemas.openxmlformats.org/officeDocument/2006/relationships/hyperlink" Id="rId449" Target="https://doi.org/10.1002/acp.2350050206" TargetMode="External" /><Relationship Type="http://schemas.openxmlformats.org/officeDocument/2006/relationships/hyperlink" Id="rId226" Target="https://doi.org/10.1002/j.2333-8504.1963.tb00958.x" TargetMode="External" /><Relationship Type="http://schemas.openxmlformats.org/officeDocument/2006/relationships/hyperlink" Id="rId441" Target="https://doi.org/10.1007/BF00308601" TargetMode="External" /><Relationship Type="http://schemas.openxmlformats.org/officeDocument/2006/relationships/hyperlink" Id="rId357" Target="https://doi.org/10.1007/BF03543066" TargetMode="External" /><Relationship Type="http://schemas.openxmlformats.org/officeDocument/2006/relationships/hyperlink" Id="rId248" Target="https://doi.org/10.1007/s00221-004-1862-9" TargetMode="External" /><Relationship Type="http://schemas.openxmlformats.org/officeDocument/2006/relationships/hyperlink" Id="rId386" Target="https://doi.org/10.1007/s00426-018-1006-7" TargetMode="External" /><Relationship Type="http://schemas.openxmlformats.org/officeDocument/2006/relationships/hyperlink" Id="rId425" Target="https://doi.org/10.1007/s10339-017-0840-7" TargetMode="External" /><Relationship Type="http://schemas.openxmlformats.org/officeDocument/2006/relationships/hyperlink" Id="rId401" Target="https://doi.org/10.1016/0001-6918(90)90076-R" TargetMode="External" /><Relationship Type="http://schemas.openxmlformats.org/officeDocument/2006/relationships/hyperlink" Id="rId261" Target="https://doi.org/10.1016/0022-2496(88)90023-5" TargetMode="External" /><Relationship Type="http://schemas.openxmlformats.org/officeDocument/2006/relationships/hyperlink" Id="rId220" Target="https://doi.org/10.1016/0030-5073(74)90002-6" TargetMode="External" /><Relationship Type="http://schemas.openxmlformats.org/officeDocument/2006/relationships/hyperlink" Id="rId329" Target="https://doi.org/10.1016/0167-9457(90)90005-X" TargetMode="External" /><Relationship Type="http://schemas.openxmlformats.org/officeDocument/2006/relationships/hyperlink" Id="rId423" Target="https://doi.org/10.1016/0167-9457(90)90010-B" TargetMode="External" /><Relationship Type="http://schemas.openxmlformats.org/officeDocument/2006/relationships/hyperlink" Id="rId206" Target="https://doi.org/10.1016/S0001-6918(98)00022-5" TargetMode="External" /><Relationship Type="http://schemas.openxmlformats.org/officeDocument/2006/relationships/hyperlink" Id="rId404" Target="https://doi.org/10.1016/S0166-4115(08)61998-6" TargetMode="External" /><Relationship Type="http://schemas.openxmlformats.org/officeDocument/2006/relationships/hyperlink" Id="rId380" Target="https://doi.org/10.1016/S0926-6410(01)00077-5" TargetMode="External" /><Relationship Type="http://schemas.openxmlformats.org/officeDocument/2006/relationships/hyperlink" Id="rId433" Target="https://doi.org/10.1016/j.actpsy.2017.11.008" TargetMode="External" /><Relationship Type="http://schemas.openxmlformats.org/officeDocument/2006/relationships/hyperlink" Id="rId390" Target="https://doi.org/10.1016/j.actpsy.2021.103356" TargetMode="External" /><Relationship Type="http://schemas.openxmlformats.org/officeDocument/2006/relationships/hyperlink" Id="rId222" Target="https://doi.org/10.1016/j.cognition.2010.10.004" TargetMode="External" /><Relationship Type="http://schemas.openxmlformats.org/officeDocument/2006/relationships/hyperlink" Id="rId314" Target="https://doi.org/10.1016/j.cognition.2019.104026" TargetMode="External" /><Relationship Type="http://schemas.openxmlformats.org/officeDocument/2006/relationships/hyperlink" Id="rId242" Target="https://doi.org/10.1016/j.cogpsych.2021.101406" TargetMode="External" /><Relationship Type="http://schemas.openxmlformats.org/officeDocument/2006/relationships/hyperlink" Id="rId218" Target="https://doi.org/10.1016/j.cub.2009.01.036" TargetMode="External" /><Relationship Type="http://schemas.openxmlformats.org/officeDocument/2006/relationships/hyperlink" Id="rId240" Target="https://doi.org/10.1016/j.humov.2019.02.015" TargetMode="External" /><Relationship Type="http://schemas.openxmlformats.org/officeDocument/2006/relationships/hyperlink" Id="rId437" Target="https://doi.org/10.1016/j.jml.2011.11.004" TargetMode="External" /><Relationship Type="http://schemas.openxmlformats.org/officeDocument/2006/relationships/hyperlink" Id="rId363" Target="https://doi.org/10.1016/j.visres.2007.11.019" TargetMode="External" /><Relationship Type="http://schemas.openxmlformats.org/officeDocument/2006/relationships/hyperlink" Id="rId435" Target="https://doi.org/10.1016/j.visres.2017.03.012" TargetMode="External" /><Relationship Type="http://schemas.openxmlformats.org/officeDocument/2006/relationships/hyperlink" Id="rId415" Target="https://doi.org/10.1017/S0140525X01000061" TargetMode="External" /><Relationship Type="http://schemas.openxmlformats.org/officeDocument/2006/relationships/hyperlink" Id="rId408" Target="https://doi.org/10.1017/S0272263119000263" TargetMode="External" /><Relationship Type="http://schemas.openxmlformats.org/officeDocument/2006/relationships/hyperlink" Id="rId208" Target="https://doi.org/10.1037//0033-2909.128.4.612" TargetMode="External" /><Relationship Type="http://schemas.openxmlformats.org/officeDocument/2006/relationships/hyperlink" Id="rId384" Target="https://doi.org/10.1037/0033-295X.102.1.28" TargetMode="External" /><Relationship Type="http://schemas.openxmlformats.org/officeDocument/2006/relationships/hyperlink" Id="rId325" Target="https://doi.org/10.1037/0033-295X.109.2.376" TargetMode="External" /><Relationship Type="http://schemas.openxmlformats.org/officeDocument/2006/relationships/hyperlink" Id="rId300" Target="https://doi.org/10.1037/0033-295X.111.4.1072" TargetMode="External" /><Relationship Type="http://schemas.openxmlformats.org/officeDocument/2006/relationships/hyperlink" Id="rId341" Target="https://doi.org/10.1037/0033-295X.85.3.207" TargetMode="External" /><Relationship Type="http://schemas.openxmlformats.org/officeDocument/2006/relationships/hyperlink" Id="rId323" Target="https://doi.org/10.1037/0033-295X.95.4.492" TargetMode="External" /><Relationship Type="http://schemas.openxmlformats.org/officeDocument/2006/relationships/hyperlink" Id="rId308" Target="https://doi.org/10.1037/0033-295X.99.1.22" TargetMode="External" /><Relationship Type="http://schemas.openxmlformats.org/officeDocument/2006/relationships/hyperlink" Id="rId353" Target="https://doi.org/10.1037/0096-3445.115.1.39" TargetMode="External" /><Relationship Type="http://schemas.openxmlformats.org/officeDocument/2006/relationships/hyperlink" Id="rId306" Target="https://doi.org/10.1037/0278-7393.17.5.811" TargetMode="External" /><Relationship Type="http://schemas.openxmlformats.org/officeDocument/2006/relationships/hyperlink" Id="rId291" Target="https://doi.org/10.1037/0278-7393.2.3.322" TargetMode="External" /><Relationship Type="http://schemas.openxmlformats.org/officeDocument/2006/relationships/hyperlink" Id="rId310" Target="https://doi.org/10.1037/0278-7393.20.5.1003" TargetMode="External" /><Relationship Type="http://schemas.openxmlformats.org/officeDocument/2006/relationships/hyperlink" Id="rId258" Target="https://doi.org/10.1037/0278-7393.23.4.968" TargetMode="External" /><Relationship Type="http://schemas.openxmlformats.org/officeDocument/2006/relationships/hyperlink" Id="rId374" Target="https://doi.org/10.1037/0278-7393.25.1.208" TargetMode="External" /><Relationship Type="http://schemas.openxmlformats.org/officeDocument/2006/relationships/hyperlink" Id="rId214" Target="https://doi.org/10.1037/0278-7393.30.1.38" TargetMode="External" /><Relationship Type="http://schemas.openxmlformats.org/officeDocument/2006/relationships/hyperlink" Id="rId337" Target="https://doi.org/10.1037/a0013982" TargetMode="External" /><Relationship Type="http://schemas.openxmlformats.org/officeDocument/2006/relationships/hyperlink" Id="rId252" Target="https://doi.org/10.1037/a0018390" TargetMode="External" /><Relationship Type="http://schemas.openxmlformats.org/officeDocument/2006/relationships/hyperlink" Id="rId287" Target="https://doi.org/10.1037/a0020666" TargetMode="External" /><Relationship Type="http://schemas.openxmlformats.org/officeDocument/2006/relationships/hyperlink" Id="rId339" Target="https://doi.org/10.1037/a0032184" TargetMode="External" /><Relationship Type="http://schemas.openxmlformats.org/officeDocument/2006/relationships/hyperlink" Id="rId376" Target="https://doi.org/10.1037/h0025953" TargetMode="External" /><Relationship Type="http://schemas.openxmlformats.org/officeDocument/2006/relationships/hyperlink" Id="rId395" Target="https://doi.org/10.1037/h0076770" TargetMode="External" /><Relationship Type="http://schemas.openxmlformats.org/officeDocument/2006/relationships/hyperlink" Id="rId359" Target="https://doi.org/10.1037/xge0000369" TargetMode="External" /><Relationship Type="http://schemas.openxmlformats.org/officeDocument/2006/relationships/hyperlink" Id="rId431" Target="https://doi.org/10.1037/xhp0000301" TargetMode="External" /><Relationship Type="http://schemas.openxmlformats.org/officeDocument/2006/relationships/hyperlink" Id="rId230" Target="https://doi.org/10.1037/xlm0000406" TargetMode="External" /><Relationship Type="http://schemas.openxmlformats.org/officeDocument/2006/relationships/hyperlink" Id="rId234" Target="https://doi.org/10.1038/nrn3315" TargetMode="External" /><Relationship Type="http://schemas.openxmlformats.org/officeDocument/2006/relationships/hyperlink" Id="rId296" Target="https://doi.org/10.1038/s44159-022-00025-3" TargetMode="External" /><Relationship Type="http://schemas.openxmlformats.org/officeDocument/2006/relationships/hyperlink" Id="rId452" Target="https://doi.org/10.1073/pnas.2002903117" TargetMode="External" /><Relationship Type="http://schemas.openxmlformats.org/officeDocument/2006/relationships/hyperlink" Id="rId268" Target="https://doi.org/10.1073/pnas.93.9.3843" TargetMode="External" /><Relationship Type="http://schemas.openxmlformats.org/officeDocument/2006/relationships/hyperlink" Id="rId349" Target="https://doi.org/10.1080/00222895.1976.10735077" TargetMode="External" /><Relationship Type="http://schemas.openxmlformats.org/officeDocument/2006/relationships/hyperlink" Id="rId335" Target="https://doi.org/10.1080/00222895.1977.10735109" TargetMode="External" /><Relationship Type="http://schemas.openxmlformats.org/officeDocument/2006/relationships/hyperlink" Id="rId345" Target="https://doi.org/10.1080/00222895.1979.10735173" TargetMode="External" /><Relationship Type="http://schemas.openxmlformats.org/officeDocument/2006/relationships/hyperlink" Id="rId321" Target="https://doi.org/10.1080/00222895.1985.10735350" TargetMode="External" /><Relationship Type="http://schemas.openxmlformats.org/officeDocument/2006/relationships/hyperlink" Id="rId236" Target="https://doi.org/10.1080/00222895.1992.9941617" TargetMode="External" /><Relationship Type="http://schemas.openxmlformats.org/officeDocument/2006/relationships/hyperlink" Id="rId238" Target="https://doi.org/10.1080/00222895.1992.9941627" TargetMode="External" /><Relationship Type="http://schemas.openxmlformats.org/officeDocument/2006/relationships/hyperlink" Id="rId351" Target="https://doi.org/10.1080/02640414.2018.1522683" TargetMode="External" /><Relationship Type="http://schemas.openxmlformats.org/officeDocument/2006/relationships/hyperlink" Id="rId256" Target="https://doi.org/10.1080/02701367.1982.10605236" TargetMode="External" /><Relationship Type="http://schemas.openxmlformats.org/officeDocument/2006/relationships/hyperlink" Id="rId443" Target="https://doi.org/10.1080/02701367.1983.10605274" TargetMode="External" /><Relationship Type="http://schemas.openxmlformats.org/officeDocument/2006/relationships/hyperlink" Id="rId372" Target="https://doi.org/10.1080/02701367.1984.10605353" TargetMode="External" /><Relationship Type="http://schemas.openxmlformats.org/officeDocument/2006/relationships/hyperlink" Id="rId445" Target="https://doi.org/10.1080/02701367.1987.10608114" TargetMode="External" /><Relationship Type="http://schemas.openxmlformats.org/officeDocument/2006/relationships/hyperlink" Id="rId439" Target="https://doi.org/10.1080/02701367.1992.10607554" TargetMode="External" /><Relationship Type="http://schemas.openxmlformats.org/officeDocument/2006/relationships/hyperlink" Id="rId312" Target="https://doi.org/10.1080/02701367.1997.10608017" TargetMode="External" /><Relationship Type="http://schemas.openxmlformats.org/officeDocument/2006/relationships/hyperlink" Id="rId347" Target="https://doi.org/10.1080/02701367.2003.10609108" TargetMode="External" /><Relationship Type="http://schemas.openxmlformats.org/officeDocument/2006/relationships/hyperlink" Id="rId366" Target="https://doi.org/10.1080/02724980042000084" TargetMode="External" /><Relationship Type="http://schemas.openxmlformats.org/officeDocument/2006/relationships/hyperlink" Id="rId216" Target="https://doi.org/10.1080/07370008.2015.1067215" TargetMode="External" /><Relationship Type="http://schemas.openxmlformats.org/officeDocument/2006/relationships/hyperlink" Id="rId274" Target="https://doi.org/10.1080/20445911.2011.507187" TargetMode="External" /><Relationship Type="http://schemas.openxmlformats.org/officeDocument/2006/relationships/hyperlink" Id="rId368" Target="https://doi.org/10.1080/20445911.2011.613818" TargetMode="External" /><Relationship Type="http://schemas.openxmlformats.org/officeDocument/2006/relationships/hyperlink" Id="rId343" Target="https://doi.org/10.1080/23311908.2018.1493714" TargetMode="External" /><Relationship Type="http://schemas.openxmlformats.org/officeDocument/2006/relationships/hyperlink" Id="rId293" Target="https://doi.org/10.1080/713756773" TargetMode="External" /><Relationship Type="http://schemas.openxmlformats.org/officeDocument/2006/relationships/hyperlink" Id="rId447" Target="https://doi.org/10.1101/2020.01.21.914556" TargetMode="External" /><Relationship Type="http://schemas.openxmlformats.org/officeDocument/2006/relationships/hyperlink" Id="rId419" Target="https://doi.org/10.1111/cogs.12539" TargetMode="External" /><Relationship Type="http://schemas.openxmlformats.org/officeDocument/2006/relationships/hyperlink" Id="rId298" Target="https://doi.org/10.1111/cogs.12812" TargetMode="External" /><Relationship Type="http://schemas.openxmlformats.org/officeDocument/2006/relationships/hyperlink" Id="rId316" Target="https://doi.org/10.1111/j.1756-8765.2009.01044.x" TargetMode="External" /><Relationship Type="http://schemas.openxmlformats.org/officeDocument/2006/relationships/hyperlink" Id="rId250" Target="https://doi.org/10.1111/j.2044-8317.2011.02016.x" TargetMode="External" /><Relationship Type="http://schemas.openxmlformats.org/officeDocument/2006/relationships/hyperlink" Id="rId406" Target="https://doi.org/10.1126/science.3629243" TargetMode="External" /><Relationship Type="http://schemas.openxmlformats.org/officeDocument/2006/relationships/hyperlink" Id="rId355" Target="https://doi.org/10.1146/annurev.ps.43.020192.000325" TargetMode="External" /><Relationship Type="http://schemas.openxmlformats.org/officeDocument/2006/relationships/hyperlink" Id="rId382" Target="https://doi.org/10.1146/annurev.psych.52.1.453" TargetMode="External" /><Relationship Type="http://schemas.openxmlformats.org/officeDocument/2006/relationships/hyperlink" Id="rId211" Target="https://doi.org/10.1152/jn.00615.2013" TargetMode="External" /><Relationship Type="http://schemas.openxmlformats.org/officeDocument/2006/relationships/hyperlink" Id="rId398" Target="https://doi.org/10.1162/opmi_a_00032" TargetMode="External" /><Relationship Type="http://schemas.openxmlformats.org/officeDocument/2006/relationships/hyperlink" Id="rId302" Target="https://doi.org/10.1167/9.7.16" TargetMode="External" /><Relationship Type="http://schemas.openxmlformats.org/officeDocument/2006/relationships/hyperlink" Id="rId304" Target="https://doi.org/10.1177/003151257804600201" TargetMode="External" /><Relationship Type="http://schemas.openxmlformats.org/officeDocument/2006/relationships/hyperlink" Id="rId370" Target="https://doi.org/10.1177/0956797610389189" TargetMode="External" /><Relationship Type="http://schemas.openxmlformats.org/officeDocument/2006/relationships/hyperlink" Id="rId410" Target="https://doi.org/10.1177/1745691615569000" TargetMode="External" /><Relationship Type="http://schemas.openxmlformats.org/officeDocument/2006/relationships/hyperlink" Id="rId318" Target="https://doi.org/10.1177/1747021819857065" TargetMode="External" /><Relationship Type="http://schemas.openxmlformats.org/officeDocument/2006/relationships/hyperlink" Id="rId266" Target="https://doi.org/10.1371/journal.pcbi.1003425" TargetMode="External" /><Relationship Type="http://schemas.openxmlformats.org/officeDocument/2006/relationships/hyperlink" Id="rId421" Target="https://doi.org/10.1371/journal.pcbi.1004172" TargetMode="External" /><Relationship Type="http://schemas.openxmlformats.org/officeDocument/2006/relationships/hyperlink" Id="rId272" Target="https://doi.org/10.1523/JNEUROSCI.16-21-07085.1996" TargetMode="External" /><Relationship Type="http://schemas.openxmlformats.org/officeDocument/2006/relationships/hyperlink" Id="rId417" Target="https://doi.org/10.1523/JNEUROSCI.1771-05.2005" TargetMode="External" /><Relationship Type="http://schemas.openxmlformats.org/officeDocument/2006/relationships/hyperlink" Id="rId224" Target="https://doi.org/10.18637/jss.v080.i01" TargetMode="External" /><Relationship Type="http://schemas.openxmlformats.org/officeDocument/2006/relationships/hyperlink" Id="rId331" Target="https://doi.org/10.21105/joss.01541" TargetMode="External" /><Relationship Type="http://schemas.openxmlformats.org/officeDocument/2006/relationships/hyperlink" Id="rId244" Target="https://doi.org/10.21105/joss.02535" TargetMode="External" /><Relationship Type="http://schemas.openxmlformats.org/officeDocument/2006/relationships/hyperlink" Id="rId232" Target="https://doi.org/10.2466/pms.1984.58.3.851" TargetMode="External" /><Relationship Type="http://schemas.openxmlformats.org/officeDocument/2006/relationships/hyperlink" Id="rId280" Target="https://doi.org/10.2466/pms.1995.81.3f.1275" TargetMode="External" /><Relationship Type="http://schemas.openxmlformats.org/officeDocument/2006/relationships/hyperlink" Id="rId278" Target="https://doi.org/10.2466/pms.1998.87.1.147" TargetMode="External" /><Relationship Type="http://schemas.openxmlformats.org/officeDocument/2006/relationships/hyperlink" Id="rId283" Target="https://doi.org/10.3200/JMBR.36.2.212-224" TargetMode="External" /><Relationship Type="http://schemas.openxmlformats.org/officeDocument/2006/relationships/hyperlink" Id="rId333" Target="https://doi.org/10.3389/fncom.2013.00100" TargetMode="External" /><Relationship Type="http://schemas.openxmlformats.org/officeDocument/2006/relationships/hyperlink" Id="rId412" Target="https://doi.org/10.3389/fnhum.2013.00171" TargetMode="External" /><Relationship Type="http://schemas.openxmlformats.org/officeDocument/2006/relationships/hyperlink" Id="rId388" Target="https://doi.org/10.3389/fpsyg.2014.01318" TargetMode="External" /><Relationship Type="http://schemas.openxmlformats.org/officeDocument/2006/relationships/hyperlink" Id="rId254" Target="https://doi.org/10.3389/fpsyg.2021.639131" TargetMode="External" /><Relationship Type="http://schemas.openxmlformats.org/officeDocument/2006/relationships/hyperlink" Id="rId285" Target="https://doi.org/10.3758/BF03195318" TargetMode="External" /><Relationship Type="http://schemas.openxmlformats.org/officeDocument/2006/relationships/hyperlink" Id="rId289" Target="https://doi.org/10.3758/BF03202365" TargetMode="External" /><Relationship Type="http://schemas.openxmlformats.org/officeDocument/2006/relationships/hyperlink" Id="rId246" Target="https://doi.org/10.3758/BF03206386" TargetMode="External" /><Relationship Type="http://schemas.openxmlformats.org/officeDocument/2006/relationships/hyperlink" Id="rId264" Target="https://doi.org/10.3758/BRM.41.4.1149" TargetMode="External" /><Relationship Type="http://schemas.openxmlformats.org/officeDocument/2006/relationships/hyperlink" Id="rId392" Target="https://doi.org/10.3758/MC.36.6.1057" TargetMode="External" /><Relationship Type="http://schemas.openxmlformats.org/officeDocument/2006/relationships/hyperlink" Id="rId276" Target="https://doi.org/10.3758/PBR.15.3.662" TargetMode="External" /><Relationship Type="http://schemas.openxmlformats.org/officeDocument/2006/relationships/hyperlink" Id="rId327" Target="https://doi.org/10.3758/s13414-011-0101-2" TargetMode="External" /><Relationship Type="http://schemas.openxmlformats.org/officeDocument/2006/relationships/hyperlink" Id="rId270" Target="https://doi.org/10.3758/s13414-021-02338-6" TargetMode="External" /><Relationship Type="http://schemas.openxmlformats.org/officeDocument/2006/relationships/hyperlink" Id="rId427" Target="https://doi.org/10.3758/s13421-011-0180-2" TargetMode="External" /><Relationship Type="http://schemas.openxmlformats.org/officeDocument/2006/relationships/hyperlink" Id="rId228" Target="https://doi.org/10.3758/s13421-013-0371-0" TargetMode="External" /><Relationship Type="http://schemas.openxmlformats.org/officeDocument/2006/relationships/hyperlink" Id="rId361" Target="https://doi.org/10.3758/s13423-018-1508-8" TargetMode="External" /><Relationship Type="http://schemas.openxmlformats.org/officeDocument/2006/relationships/hyperlink" Id="rId454" Target="https://doi.org/10.3758/s13423-020-01780-1" TargetMode="External" /><Relationship Type="http://schemas.openxmlformats.org/officeDocument/2006/relationships/hyperlink" Id="rId378" Target="https://doi.org/10.3758/s13423-021-01878-0" TargetMode="External" /><Relationship Type="http://schemas.openxmlformats.org/officeDocument/2006/relationships/hyperlink" Id="rId429" Target="https://doi.org/10.3758/s13428-020-01405-4" TargetMode="External" /><Relationship Type="http://schemas.openxmlformats.org/officeDocument/2006/relationships/hyperlink" Id="rId87" Target="https://pcl.sitehost.iu.edu/tg/HTW/HTW_Index.html?sonaid=" TargetMode="External" /><Relationship Type="http://schemas.openxmlformats.org/officeDocument/2006/relationships/hyperlink" Id="rId43" Target="https://pcl.sitehost.iu.edu/tg/demos/igas_expt1_dem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2023-10-29T19:24:38Z</dcterms:created>
  <dcterms:modified xsi:type="dcterms:W3CDTF">2023-10-29T19:24:38Z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../Assets/Bib/Dissertation.bib</vt:lpwstr>
  </property>
  <property fmtid="{D5CDD505-2E9C-101B-9397-08002B2CF9AE}" pid="4" name="code-repo">
    <vt:lpwstr>Access the code, data, and analysis at https://github.com/tegorman13/Dissertation</vt:lpwstr>
  </property>
  <property fmtid="{D5CDD505-2E9C-101B-9397-08002B2CF9AE}" pid="5" name="csl">
    <vt:lpwstr>../Assets/Bib/apa7.csl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citations">
    <vt:lpwstr>True</vt:lpwstr>
  </property>
  <property fmtid="{D5CDD505-2E9C-101B-9397-08002B2CF9AE}" pid="12" name="toc-location">
    <vt:lpwstr>body</vt:lpwstr>
  </property>
  <property fmtid="{D5CDD505-2E9C-101B-9397-08002B2CF9AE}" pid="13" name="toc-title">
    <vt:lpwstr>Table of contents</vt:lpwstr>
  </property>
</Properties>
</file>