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8.png" ContentType="image/png"/>
  <Override PartName="/word/media/rId90.png" ContentType="image/png"/>
  <Override PartName="/word/media/rId107.png" ContentType="image/png"/>
  <Override PartName="/word/media/rId7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nothing short of inspiring. I also extend my heartfelt thanks to Rob Nosofsky, who always asked sharp questions that challenged my thinking,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research questions, introducing me to R, and patiently humoring my naïve inquiries into statistics.</w:t>
      </w:r>
    </w:p>
    <w:p>
      <w:pPr>
        <w:pStyle w:val="BodyText"/>
      </w:pPr>
      <w:r>
        <w:t xml:space="preserve">The camaraderie, friendship, and intellectual stimulation I received from my friends at Indiana University have been vital to my graduate school experience. I am especially grateful to Johnathan Avery for introducing me to bouldering, which became my main source of exercise, and for our many fun and thought-provoking conversations. I also want to thank Eleanor Schille-Hudson, Mahi Luthra, Dan Levitas, Sam Nordli, Brad Rogers, Marina Dubova, Eeshan Hasan, and many others from the Geolab, Cognitive Science program, and Psychology department for their support, which made the long hours of work much more enjoyable.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Finally, I would also like to extend my heartfelt thanks to my family. My parents, Mary and Jim Gorman, have been unwavering pillars of support. My brother, Joseph Gorman, played a crucial role in the final stages of my dissertation. By hosting me for one of the final months of my work, he provided a novel and structured working environment that helped me overcome some of the most challenging hurdles. The support of my family has been instrumental in making this journey possible, and I am forever grateful for their love and encouragement.</w:t>
      </w:r>
    </w:p>
    <w:p>
      <w:r>
        <w:br w:type="page"/>
      </w:r>
    </w:p>
    <w:p>
      <w:pPr>
        <w:pStyle w:val="BodyText"/>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 and 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0"/>
    <w:bookmarkEnd w:id="21"/>
    <w:bookmarkStart w:id="29" w:name="introduction"/>
    <w:p>
      <w:pPr>
        <w:pStyle w:val="Heading1"/>
      </w:pPr>
      <w:r>
        <w:t xml:space="preserve">Introduction</w:t>
      </w:r>
    </w:p>
    <w:bookmarkStart w:id="26"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5" w:name="fig-ex-design1"/>
          <w:p>
            <w:pPr>
              <w:pStyle w:val="Compact"/>
              <w:jc w:val="center"/>
            </w:pPr>
            <w:r>
              <w:drawing>
                <wp:inline>
                  <wp:extent cx="5334000" cy="3810000"/>
                  <wp:effectExtent b="0" l="0" r="0" t="0"/>
                  <wp:docPr descr="" title="" id="23" name="Picture"/>
                  <a:graphic>
                    <a:graphicData uri="http://schemas.openxmlformats.org/drawingml/2006/picture">
                      <pic:pic>
                        <pic:nvPicPr>
                          <pic:cNvPr descr="manuscript_files/figure-docx/fig-ex-design1-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5"/>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6"/>
    <w:bookmarkStart w:id="27"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7"/>
    <w:bookmarkStart w:id="28"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8"/>
    <w:bookmarkEnd w:id="29"/>
    <w:bookmarkStart w:id="76"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0" w:name="abstract-1"/>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0"/>
    <w:bookmarkStart w:id="34" w:name="introduction-1"/>
    <w:p>
      <w:pPr>
        <w:pStyle w:val="Heading2"/>
      </w:pPr>
      <w:r>
        <w:t xml:space="preserve">Introduction</w:t>
      </w:r>
    </w:p>
    <w:bookmarkStart w:id="31"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1"/>
    <w:bookmarkStart w:id="33"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2"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2"/>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3"/>
    <w:bookmarkEnd w:id="34"/>
    <w:bookmarkStart w:id="53" w:name="experiment-1"/>
    <w:p>
      <w:pPr>
        <w:pStyle w:val="Heading2"/>
      </w:pPr>
      <w:r>
        <w:t xml:space="preserve">Experiment 1</w:t>
      </w:r>
    </w:p>
    <w:bookmarkStart w:id="44" w:name="methods"/>
    <w:p>
      <w:pPr>
        <w:pStyle w:val="Heading3"/>
      </w:pPr>
      <w:r>
        <w:t xml:space="preserve">Methods</w:t>
      </w:r>
    </w:p>
    <w:bookmarkStart w:id="35"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5"/>
    <w:bookmarkStart w:id="36"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6"/>
    <w:bookmarkStart w:id="42"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7">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IGAS_Methods"/>
          <w:p>
            <w:pPr>
              <w:pStyle w:val="Compact"/>
              <w:jc w:val="center"/>
            </w:pPr>
            <w:r>
              <w:drawing>
                <wp:inline>
                  <wp:extent cx="3200400" cy="1340338"/>
                  <wp:effectExtent b="0" l="0" r="0" t="0"/>
                  <wp:docPr descr="" title="" id="39" name="Picture"/>
                  <a:graphic>
                    <a:graphicData uri="http://schemas.openxmlformats.org/drawingml/2006/picture">
                      <pic:pic>
                        <pic:nvPicPr>
                          <pic:cNvPr descr="../Assets/methodsFig1.png" id="40" name="Picture"/>
                          <pic:cNvPicPr>
                            <a:picLocks noChangeArrowheads="1" noChangeAspect="1"/>
                          </pic:cNvPicPr>
                        </pic:nvPicPr>
                        <pic:blipFill>
                          <a:blip r:embed="rId38"/>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1"/>
        </w:tc>
      </w:tr>
    </w:tbl>
    <w:bookmarkEnd w:id="42"/>
    <w:bookmarkStart w:id="43"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3"/>
    <w:bookmarkEnd w:id="44"/>
    <w:bookmarkStart w:id="51" w:name="results"/>
    <w:p>
      <w:pPr>
        <w:pStyle w:val="Heading3"/>
      </w:pPr>
      <w:r>
        <w:t xml:space="preserve">Results</w:t>
      </w:r>
    </w:p>
    <w:bookmarkStart w:id="45"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5"/>
    <w:bookmarkStart w:id="47"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6"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46"/>
        </w:tc>
      </w:tr>
    </w:tbl>
    <w:bookmarkEnd w:id="47"/>
    <w:bookmarkStart w:id="50"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8"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8"/>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9"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9"/>
          <w:p/>
        </w:tc>
      </w:tr>
    </w:tbl>
    <w:bookmarkEnd w:id="50"/>
    <w:bookmarkEnd w:id="51"/>
    <w:bookmarkStart w:id="52"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2"/>
    <w:bookmarkEnd w:id="53"/>
    <w:bookmarkStart w:id="68"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6" w:name="methods-1"/>
    <w:p>
      <w:pPr>
        <w:pStyle w:val="Heading3"/>
      </w:pPr>
      <w:r>
        <w:t xml:space="preserve">Methods</w:t>
      </w:r>
    </w:p>
    <w:bookmarkStart w:id="54"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4"/>
    <w:bookmarkStart w:id="55"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5"/>
    <w:bookmarkEnd w:id="56"/>
    <w:bookmarkStart w:id="66" w:name="results-1"/>
    <w:p>
      <w:pPr>
        <w:pStyle w:val="Heading3"/>
      </w:pPr>
      <w:r>
        <w:t xml:space="preserve">Results</w:t>
      </w:r>
    </w:p>
    <w:bookmarkStart w:id="57"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7"/>
    <w:bookmarkStart w:id="59"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8"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8"/>
        </w:tc>
      </w:tr>
    </w:tbl>
    <w:bookmarkEnd w:id="59"/>
    <w:bookmarkStart w:id="65"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0"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0"/>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1"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1"/>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2"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2"/>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3"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3"/>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4"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4"/>
          <w:p/>
        </w:tc>
      </w:tr>
    </w:tbl>
    <w:bookmarkEnd w:id="65"/>
    <w:bookmarkEnd w:id="66"/>
    <w:bookmarkStart w:id="67"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7"/>
    <w:bookmarkEnd w:id="68"/>
    <w:bookmarkStart w:id="71"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9"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9"/>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0"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0"/>
    <w:bookmarkEnd w:id="71"/>
    <w:bookmarkStart w:id="75"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2"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2"/>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3"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3"/>
    <w:bookmarkStart w:id="74"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4"/>
    <w:bookmarkEnd w:id="75"/>
    <w:bookmarkEnd w:id="76"/>
    <w:bookmarkStart w:id="153" w:name="project-2"/>
    <w:p>
      <w:pPr>
        <w:pStyle w:val="Heading1"/>
      </w:pPr>
      <w:r>
        <w:t xml:space="preserve">Project 2</w:t>
      </w:r>
    </w:p>
    <w:bookmarkStart w:id="84"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1"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0" w:name="fig-delosh-extrap"/>
          <w:p>
            <w:pPr>
              <w:pStyle w:val="Compact"/>
              <w:jc w:val="center"/>
            </w:pPr>
            <w:r>
              <w:drawing>
                <wp:inline>
                  <wp:extent cx="5334000" cy="2133600"/>
                  <wp:effectExtent b="0" l="0" r="0" t="0"/>
                  <wp:docPr descr="" title="" id="78" name="Picture"/>
                  <a:graphic>
                    <a:graphicData uri="http://schemas.openxmlformats.org/drawingml/2006/picture">
                      <pic:pic>
                        <pic:nvPicPr>
                          <pic:cNvPr descr="manuscript_files/figure-docx/fig-delosh-extrap-1.png" id="79" name="Picture"/>
                          <pic:cNvPicPr>
                            <a:picLocks noChangeArrowheads="1" noChangeAspect="1"/>
                          </pic:cNvPicPr>
                        </pic:nvPicPr>
                        <pic:blipFill>
                          <a:blip r:embed="rId7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0"/>
        </w:tc>
      </w:tr>
    </w:tbl>
    <w:bookmarkEnd w:id="81"/>
    <w:bookmarkStart w:id="82"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2"/>
    <w:bookmarkStart w:id="83"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3"/>
    <w:bookmarkEnd w:id="84"/>
    <w:bookmarkStart w:id="106" w:name="experiment-1-1"/>
    <w:p>
      <w:pPr>
        <w:pStyle w:val="Heading2"/>
      </w:pPr>
      <w:r>
        <w:t xml:space="preserve">Experiment 1</w:t>
      </w:r>
    </w:p>
    <w:bookmarkStart w:id="94"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5">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9" w:name="fig-htw-task"/>
          <w:p>
            <w:pPr>
              <w:pStyle w:val="Compact"/>
              <w:jc w:val="center"/>
            </w:pPr>
            <w:r>
              <w:drawing>
                <wp:inline>
                  <wp:extent cx="3200400" cy="2875097"/>
                  <wp:effectExtent b="0" l="0" r="0" t="0"/>
                  <wp:docPr descr="" title="" id="87" name="Picture"/>
                  <a:graphic>
                    <a:graphicData uri="http://schemas.openxmlformats.org/drawingml/2006/picture">
                      <pic:pic>
                        <pic:nvPicPr>
                          <pic:cNvPr descr="../Assets/figs/htw_task_fig.png" id="88" name="Picture"/>
                          <pic:cNvPicPr>
                            <a:picLocks noChangeArrowheads="1" noChangeAspect="1"/>
                          </pic:cNvPicPr>
                        </pic:nvPicPr>
                        <pic:blipFill>
                          <a:blip r:embed="rId86"/>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9"/>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3" w:name="fig-design-e1"/>
          <w:p>
            <w:pPr>
              <w:jc w:val="center"/>
            </w:pPr>
            <w:r>
              <w:drawing>
                <wp:inline>
                  <wp:extent cx="5334000" cy="1600200"/>
                  <wp:effectExtent b="0" l="0" r="0" t="0"/>
                  <wp:docPr descr="" title="" id="91" name="Picture"/>
                  <a:graphic>
                    <a:graphicData uri="http://schemas.openxmlformats.org/drawingml/2006/picture">
                      <pic:pic>
                        <pic:nvPicPr>
                          <pic:cNvPr descr="manuscript_files/figure-docx/dot-figure-1.png" id="92" name="Picture"/>
                          <pic:cNvPicPr>
                            <a:picLocks noChangeArrowheads="1" noChangeAspect="1"/>
                          </pic:cNvPicPr>
                        </pic:nvPicPr>
                        <pic:blipFill>
                          <a:blip r:embed="rId90"/>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3"/>
        </w:tc>
      </w:tr>
    </w:tbl>
    <w:bookmarkEnd w:id="94"/>
    <w:bookmarkStart w:id="96"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5"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5"/>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6"/>
    <w:bookmarkStart w:id="104"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7"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97"/>
        </w:tc>
      </w:tr>
    </w:tbl>
    <w:tbl>
      <w:tblPr>
        <w:tblStyle w:val="Table"/>
        <w:tblW w:type="pct" w:w="5000"/>
        <w:tblLayout w:type="fixed"/>
        <w:tblLook w:firstRow="0" w:lastRow="0" w:firstColumn="0" w:lastColumn="0" w:noHBand="0" w:noVBand="0" w:val="0000"/>
      </w:tblPr>
      <w:tblGrid>
        <w:gridCol w:w="7920"/>
      </w:tblGrid>
      <w:tr>
        <w:tc>
          <w:tcPr/>
          <w:bookmarkStart w:id="98"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8"/>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9"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9"/>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0"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0"/>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1"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1"/>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2"/>
        </w:tc>
      </w:tr>
    </w:tbl>
    <w:tbl>
      <w:tblPr>
        <w:tblStyle w:val="Table"/>
        <w:tblW w:type="pct" w:w="5000"/>
        <w:tblLayout w:type="fixed"/>
        <w:tblLook w:firstRow="0" w:lastRow="0" w:firstColumn="0" w:lastColumn="0" w:noHBand="0" w:noVBand="0" w:val="0000"/>
      </w:tblPr>
      <w:tblGrid>
        <w:gridCol w:w="7920"/>
      </w:tblGrid>
      <w:tr>
        <w:tc>
          <w:tcPr/>
          <w:bookmarkStart w:id="103"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3"/>
        </w:tc>
      </w:tr>
    </w:tbl>
    <w:bookmarkEnd w:id="104"/>
    <w:bookmarkStart w:id="105"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5"/>
    <w:bookmarkEnd w:id="106"/>
    <w:bookmarkStart w:id="121" w:name="experiment-2-1"/>
    <w:p>
      <w:pPr>
        <w:pStyle w:val="Heading2"/>
      </w:pPr>
      <w:r>
        <w:t xml:space="preserve">Experiment 2</w:t>
      </w:r>
    </w:p>
    <w:bookmarkStart w:id="111"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0" w:name="fig-design-e2"/>
          <w:p>
            <w:pPr>
              <w:jc w:val="center"/>
            </w:pPr>
            <w:r>
              <w:drawing>
                <wp:inline>
                  <wp:extent cx="5334000" cy="1600200"/>
                  <wp:effectExtent b="0" l="0" r="0" t="0"/>
                  <wp:docPr descr="" title="" id="108" name="Picture"/>
                  <a:graphic>
                    <a:graphicData uri="http://schemas.openxmlformats.org/drawingml/2006/picture">
                      <pic:pic>
                        <pic:nvPicPr>
                          <pic:cNvPr descr="manuscript_files/figure-docx/dot-figure-2.png" id="109" name="Picture"/>
                          <pic:cNvPicPr>
                            <a:picLocks noChangeArrowheads="1" noChangeAspect="1"/>
                          </pic:cNvPicPr>
                        </pic:nvPicPr>
                        <pic:blipFill>
                          <a:blip r:embed="rId107"/>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0"/>
        </w:tc>
      </w:tr>
    </w:tbl>
    <w:bookmarkEnd w:id="111"/>
    <w:bookmarkStart w:id="119"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2"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2"/>
        </w:tc>
      </w:tr>
    </w:tbl>
    <w:tbl>
      <w:tblPr>
        <w:tblStyle w:val="Table"/>
        <w:tblW w:type="pct" w:w="5000"/>
        <w:tblLayout w:type="fixed"/>
        <w:tblLook w:firstRow="0" w:lastRow="0" w:firstColumn="0" w:lastColumn="0" w:noHBand="0" w:noVBand="0" w:val="0000"/>
      </w:tblPr>
      <w:tblGrid>
        <w:gridCol w:w="7920"/>
      </w:tblGrid>
      <w:tr>
        <w:tc>
          <w:tcPr/>
          <w:bookmarkStart w:id="113"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3"/>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4"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4"/>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5"/>
        </w:tc>
      </w:tr>
    </w:tbl>
    <w:tbl>
      <w:tblPr>
        <w:tblStyle w:val="Table"/>
        <w:tblW w:type="pct" w:w="5000"/>
        <w:tblLayout w:type="fixed"/>
        <w:tblLook w:firstRow="0" w:lastRow="0" w:firstColumn="0" w:lastColumn="0" w:noHBand="0" w:noVBand="0" w:val="0000"/>
      </w:tblPr>
      <w:tblGrid>
        <w:gridCol w:w="7920"/>
      </w:tblGrid>
      <w:tr>
        <w:tc>
          <w:tcPr/>
          <w:bookmarkStart w:id="116"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6"/>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7"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17"/>
        </w:tc>
      </w:tr>
    </w:tbl>
    <w:tbl>
      <w:tblPr>
        <w:tblStyle w:val="Table"/>
        <w:tblW w:type="pct" w:w="5000"/>
        <w:tblLayout w:type="fixed"/>
        <w:tblLook w:firstRow="0" w:lastRow="0" w:firstColumn="0" w:lastColumn="0" w:noHBand="0" w:noVBand="0" w:val="0000"/>
      </w:tblPr>
      <w:tblGrid>
        <w:gridCol w:w="7920"/>
      </w:tblGrid>
      <w:tr>
        <w:tc>
          <w:tcPr/>
          <w:bookmarkStart w:id="118"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8"/>
        </w:tc>
      </w:tr>
    </w:tbl>
    <w:bookmarkEnd w:id="119"/>
    <w:bookmarkStart w:id="120"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0"/>
    <w:bookmarkEnd w:id="121"/>
    <w:bookmarkStart w:id="132"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2"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2"/>
    <w:bookmarkStart w:id="130"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3"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3"/>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4"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4"/>
        </w:tc>
      </w:tr>
    </w:tbl>
    <w:tbl>
      <w:tblPr>
        <w:tblStyle w:val="Table"/>
        <w:tblW w:type="pct" w:w="5000"/>
        <w:tblLayout w:type="fixed"/>
        <w:tblLook w:firstRow="0" w:lastRow="0" w:firstColumn="0" w:lastColumn="0" w:noHBand="0" w:noVBand="0" w:val="0000"/>
      </w:tblPr>
      <w:tblGrid>
        <w:gridCol w:w="7920"/>
      </w:tblGrid>
      <w:tr>
        <w:tc>
          <w:tcPr/>
          <w:bookmarkStart w:id="125"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5"/>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6"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6"/>
        </w:tc>
      </w:tr>
    </w:tbl>
    <w:tbl>
      <w:tblPr>
        <w:tblStyle w:val="Table"/>
        <w:tblW w:type="pct" w:w="5000"/>
        <w:tblLayout w:type="fixed"/>
        <w:tblLook w:firstRow="0" w:lastRow="0" w:firstColumn="0" w:lastColumn="0" w:noHBand="0" w:noVBand="0" w:val="0000"/>
      </w:tblPr>
      <w:tblGrid>
        <w:gridCol w:w="7920"/>
      </w:tblGrid>
      <w:tr>
        <w:tc>
          <w:tcPr/>
          <w:bookmarkStart w:id="127"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7"/>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8"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29"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9"/>
        </w:tc>
      </w:tr>
    </w:tbl>
    <w:bookmarkEnd w:id="130"/>
    <w:bookmarkStart w:id="131"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1"/>
    <w:bookmarkEnd w:id="132"/>
    <w:bookmarkStart w:id="151"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3"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3"/>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5"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4"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4"/>
          <w:p/>
        </w:tc>
      </w:tr>
    </w:tbl>
    <w:bookmarkEnd w:id="135"/>
    <w:bookmarkStart w:id="138"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6"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6"/>
          </w:p>
          <w:p>
            <w:pPr>
              <w:pStyle w:val="FirstParagraph"/>
            </w:pPr>
            <w:bookmarkStart w:id="137"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7"/>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8"/>
    <w:bookmarkStart w:id="150"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9"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9"/>
        </w:tc>
      </w:tr>
    </w:tbl>
    <w:tbl>
      <w:tblPr>
        <w:tblStyle w:val="Table"/>
        <w:tblW w:type="pct" w:w="5000"/>
        <w:tblLayout w:type="fixed"/>
        <w:tblLook w:firstRow="0" w:lastRow="0" w:firstColumn="0" w:lastColumn="0" w:noHBand="0" w:noVBand="0" w:val="0000"/>
      </w:tblPr>
      <w:tblGrid>
        <w:gridCol w:w="7920"/>
      </w:tblGrid>
      <w:tr>
        <w:tc>
          <w:tcPr/>
          <w:bookmarkStart w:id="140"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1"/>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2"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2"/>
        </w:tc>
      </w:tr>
    </w:tbl>
    <w:tbl>
      <w:tblPr>
        <w:tblStyle w:val="Table"/>
        <w:tblW w:type="pct" w:w="5000"/>
        <w:tblLayout w:type="fixed"/>
        <w:tblLook w:firstRow="0" w:lastRow="0" w:firstColumn="0" w:lastColumn="0" w:noHBand="0" w:noVBand="0" w:val="0000"/>
      </w:tblPr>
      <w:tblGrid>
        <w:gridCol w:w="7920"/>
      </w:tblGrid>
      <w:tr>
        <w:tc>
          <w:tcPr/>
          <w:bookmarkStart w:id="143"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3"/>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4"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5"/>
        </w:tc>
      </w:tr>
    </w:tbl>
    <w:p>
      <w:r>
        <w:br w:type="page"/>
      </w:r>
    </w:p>
    <w:tbl>
      <w:tblPr>
        <w:tblStyle w:val="Table"/>
        <w:tblW w:type="pct" w:w="5000"/>
        <w:tblLayout w:type="fixed"/>
        <w:tblLook w:firstRow="0" w:lastRow="0" w:firstColumn="0" w:lastColumn="0" w:noHBand="0" w:noVBand="0" w:val="0000"/>
      </w:tblPr>
      <w:tblGrid>
        <w:gridCol w:w="7920"/>
      </w:tblGrid>
      <w:tr>
        <w:tc>
          <w:tcPr/>
          <w:bookmarkStart w:id="146"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6"/>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7"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47"/>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8"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9"/>
        </w:tc>
      </w:tr>
    </w:tbl>
    <w:bookmarkEnd w:id="150"/>
    <w:bookmarkEnd w:id="151"/>
    <w:bookmarkStart w:id="152"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2"/>
    <w:bookmarkEnd w:id="153"/>
    <w:bookmarkStart w:id="158"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4"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4"/>
    <w:bookmarkStart w:id="156"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5"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5"/>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6"/>
    <w:bookmarkStart w:id="157"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7"/>
    <w:bookmarkEnd w:id="158"/>
    <w:bookmarkStart w:id="160" w:name="appendix"/>
    <w:p>
      <w:pPr>
        <w:pStyle w:val="Heading1"/>
      </w:pPr>
      <w:r>
        <w:t xml:space="preserve">Appendix</w:t>
      </w:r>
    </w:p>
    <w:p>
      <w:pPr>
        <w:pStyle w:val="FirstParagraph"/>
      </w:pPr>
      <w:hyperlink r:id="rId159">
        <w:r>
          <w:rPr>
            <w:rStyle w:val="Hyperlink"/>
          </w:rPr>
          <w:t xml:space="preserve">Apppendix</w:t>
        </w:r>
      </w:hyperlink>
      <w:r>
        <w:t xml:space="preserve"> </w:t>
      </w:r>
      <w:r>
        <w:t xml:space="preserve">available at https://tegorman13.github.io/Dissertation/Sections/Appendix/Full_Appendix.html</w:t>
      </w:r>
    </w:p>
    <w:bookmarkEnd w:id="160"/>
    <w:bookmarkStart w:id="503" w:name="references"/>
    <w:p>
      <w:pPr>
        <w:pStyle w:val="Heading1"/>
      </w:pPr>
      <w:r>
        <w:t xml:space="preserve">References</w:t>
      </w:r>
    </w:p>
    <w:bookmarkStart w:id="502" w:name="refs"/>
    <w:bookmarkStart w:id="161"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1"/>
    <w:bookmarkStart w:id="163"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2">
        <w:r>
          <w:rPr>
            <w:rStyle w:val="Hyperlink"/>
          </w:rPr>
          <w:t xml:space="preserve">https://doi.org/10.32614/RJ-2021-048</w:t>
        </w:r>
      </w:hyperlink>
    </w:p>
    <w:bookmarkEnd w:id="163"/>
    <w:bookmarkStart w:id="165"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4">
        <w:r>
          <w:rPr>
            <w:rStyle w:val="Hyperlink"/>
          </w:rPr>
          <w:t xml:space="preserve">https://doi.org/10.1152/jn.00615.2013</w:t>
        </w:r>
      </w:hyperlink>
    </w:p>
    <w:bookmarkEnd w:id="165"/>
    <w:bookmarkStart w:id="166"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6"/>
    <w:bookmarkStart w:id="168"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7">
        <w:r>
          <w:rPr>
            <w:rStyle w:val="Hyperlink"/>
          </w:rPr>
          <w:t xml:space="preserve">https://doi.org/10.1037/0278-7393.30.1.38</w:t>
        </w:r>
      </w:hyperlink>
    </w:p>
    <w:bookmarkEnd w:id="168"/>
    <w:bookmarkStart w:id="170"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9">
        <w:r>
          <w:rPr>
            <w:rStyle w:val="Hyperlink"/>
          </w:rPr>
          <w:t xml:space="preserve">https://doi.org/10.1037/xlm0000824</w:t>
        </w:r>
      </w:hyperlink>
    </w:p>
    <w:bookmarkEnd w:id="170"/>
    <w:bookmarkStart w:id="172"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1">
        <w:r>
          <w:rPr>
            <w:rStyle w:val="Hyperlink"/>
          </w:rPr>
          <w:t xml:space="preserve">https://doi.org/10.1080/07370008.2015.1067215</w:t>
        </w:r>
      </w:hyperlink>
    </w:p>
    <w:bookmarkEnd w:id="172"/>
    <w:bookmarkStart w:id="174"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3">
        <w:r>
          <w:rPr>
            <w:rStyle w:val="Hyperlink"/>
          </w:rPr>
          <w:t xml:space="preserve">https://doi.org/10.1016/j.cub.2009.01.036</w:t>
        </w:r>
      </w:hyperlink>
    </w:p>
    <w:bookmarkEnd w:id="174"/>
    <w:bookmarkStart w:id="176"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5">
        <w:r>
          <w:rPr>
            <w:rStyle w:val="Hyperlink"/>
          </w:rPr>
          <w:t xml:space="preserve">https://doi.org/10.1016/0030-5073(74)90002-6</w:t>
        </w:r>
      </w:hyperlink>
    </w:p>
    <w:bookmarkEnd w:id="176"/>
    <w:bookmarkStart w:id="178"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7">
        <w:r>
          <w:rPr>
            <w:rStyle w:val="Hyperlink"/>
          </w:rPr>
          <w:t xml:space="preserve">https://doi.org/10.1016/j.jml.2022.104352</w:t>
        </w:r>
      </w:hyperlink>
    </w:p>
    <w:bookmarkEnd w:id="178"/>
    <w:bookmarkStart w:id="180"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9">
        <w:r>
          <w:rPr>
            <w:rStyle w:val="Hyperlink"/>
          </w:rPr>
          <w:t xml:space="preserve">https://doi.org/10.1016/j.actpsy.2012.04.002</w:t>
        </w:r>
      </w:hyperlink>
    </w:p>
    <w:bookmarkEnd w:id="180"/>
    <w:bookmarkStart w:id="182"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1">
        <w:r>
          <w:rPr>
            <w:rStyle w:val="Hyperlink"/>
          </w:rPr>
          <w:t xml:space="preserve">https://doi.org/10.1016/j.cognition.2010.10.004</w:t>
        </w:r>
      </w:hyperlink>
    </w:p>
    <w:bookmarkEnd w:id="182"/>
    <w:bookmarkStart w:id="184"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3">
        <w:r>
          <w:rPr>
            <w:rStyle w:val="Hyperlink"/>
          </w:rPr>
          <w:t xml:space="preserve">https://doi.org/10.1037/cep0000129</w:t>
        </w:r>
      </w:hyperlink>
    </w:p>
    <w:bookmarkEnd w:id="184"/>
    <w:bookmarkStart w:id="186"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5">
        <w:r>
          <w:rPr>
            <w:rStyle w:val="Hyperlink"/>
          </w:rPr>
          <w:t xml:space="preserve">https://doi.org/10.1002/acp.1739</w:t>
        </w:r>
      </w:hyperlink>
    </w:p>
    <w:bookmarkEnd w:id="186"/>
    <w:bookmarkStart w:id="18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7">
        <w:r>
          <w:rPr>
            <w:rStyle w:val="Hyperlink"/>
          </w:rPr>
          <w:t xml:space="preserve">https://doi.org/10.18637/jss.v080.i01</w:t>
        </w:r>
      </w:hyperlink>
    </w:p>
    <w:bookmarkEnd w:id="188"/>
    <w:bookmarkStart w:id="190"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9">
        <w:r>
          <w:rPr>
            <w:rStyle w:val="Hyperlink"/>
          </w:rPr>
          <w:t xml:space="preserve">https://doi.org/10.1111/cogs.12231</w:t>
        </w:r>
      </w:hyperlink>
    </w:p>
    <w:bookmarkEnd w:id="190"/>
    <w:bookmarkStart w:id="191"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1"/>
    <w:bookmarkStart w:id="193"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2">
        <w:r>
          <w:rPr>
            <w:rStyle w:val="Hyperlink"/>
          </w:rPr>
          <w:t xml:space="preserve">https://doi.org/10.1002/j.2333-8504.1963.tb00958.x</w:t>
        </w:r>
      </w:hyperlink>
    </w:p>
    <w:bookmarkEnd w:id="193"/>
    <w:bookmarkStart w:id="195"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4">
        <w:r>
          <w:rPr>
            <w:rStyle w:val="Hyperlink"/>
          </w:rPr>
          <w:t xml:space="preserve">https://doi.org/10.2466/pms.1984.58.3.851</w:t>
        </w:r>
      </w:hyperlink>
    </w:p>
    <w:bookmarkEnd w:id="195"/>
    <w:bookmarkStart w:id="197"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6">
        <w:r>
          <w:rPr>
            <w:rStyle w:val="Hyperlink"/>
          </w:rPr>
          <w:t xml:space="preserve">https://doi.org/10.1038/nrn3315</w:t>
        </w:r>
      </w:hyperlink>
    </w:p>
    <w:bookmarkEnd w:id="197"/>
    <w:bookmarkStart w:id="199"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8">
        <w:r>
          <w:rPr>
            <w:rStyle w:val="Hyperlink"/>
          </w:rPr>
          <w:t xml:space="preserve">https://doi.org/10.1080/00222895.1992.9941617</w:t>
        </w:r>
      </w:hyperlink>
    </w:p>
    <w:bookmarkEnd w:id="199"/>
    <w:bookmarkStart w:id="201"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0">
        <w:r>
          <w:rPr>
            <w:rStyle w:val="Hyperlink"/>
          </w:rPr>
          <w:t xml:space="preserve">https://doi.org/10.1080/00222895.1992.9941627</w:t>
        </w:r>
      </w:hyperlink>
    </w:p>
    <w:bookmarkEnd w:id="201"/>
    <w:bookmarkStart w:id="203"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2">
        <w:r>
          <w:rPr>
            <w:rStyle w:val="Hyperlink"/>
          </w:rPr>
          <w:t xml:space="preserve">https://doi.org/10.1016/j.humov.2019.02.015</w:t>
        </w:r>
      </w:hyperlink>
    </w:p>
    <w:bookmarkEnd w:id="203"/>
    <w:bookmarkStart w:id="205"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4">
        <w:r>
          <w:rPr>
            <w:rStyle w:val="Hyperlink"/>
          </w:rPr>
          <w:t xml:space="preserve">https://doi.org/10.1016/j.cogpsych.2021.101406</w:t>
        </w:r>
      </w:hyperlink>
    </w:p>
    <w:bookmarkEnd w:id="205"/>
    <w:bookmarkStart w:id="207"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6">
        <w:r>
          <w:rPr>
            <w:rStyle w:val="Hyperlink"/>
          </w:rPr>
          <w:t xml:space="preserve">https://doi.org/10.21105/joss.02535</w:t>
        </w:r>
      </w:hyperlink>
    </w:p>
    <w:bookmarkEnd w:id="207"/>
    <w:bookmarkStart w:id="209"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8">
        <w:r>
          <w:rPr>
            <w:rStyle w:val="Hyperlink"/>
          </w:rPr>
          <w:t xml:space="preserve">https://doi.org/10.3758/BF03206386</w:t>
        </w:r>
      </w:hyperlink>
    </w:p>
    <w:bookmarkEnd w:id="209"/>
    <w:bookmarkStart w:id="211"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0">
        <w:r>
          <w:rPr>
            <w:rStyle w:val="Hyperlink"/>
          </w:rPr>
          <w:t xml:space="preserve">https://doi.org/10.1007/s00221-004-1862-9</w:t>
        </w:r>
      </w:hyperlink>
    </w:p>
    <w:bookmarkEnd w:id="211"/>
    <w:bookmarkStart w:id="213"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2">
        <w:r>
          <w:rPr>
            <w:rStyle w:val="Hyperlink"/>
          </w:rPr>
          <w:t xml:space="preserve">https://doi.org/10.1016/j.cognition.2022.105163</w:t>
        </w:r>
      </w:hyperlink>
    </w:p>
    <w:bookmarkEnd w:id="213"/>
    <w:bookmarkStart w:id="215"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4">
        <w:r>
          <w:rPr>
            <w:rStyle w:val="Hyperlink"/>
          </w:rPr>
          <w:t xml:space="preserve">https://doi.org/10.1111/j.2044-8317.2011.02016.x</w:t>
        </w:r>
      </w:hyperlink>
    </w:p>
    <w:bookmarkEnd w:id="215"/>
    <w:bookmarkStart w:id="217"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6">
        <w:r>
          <w:rPr>
            <w:rStyle w:val="Hyperlink"/>
          </w:rPr>
          <w:t xml:space="preserve">https://doi.org/10.1073/pnas.1912789117</w:t>
        </w:r>
      </w:hyperlink>
    </w:p>
    <w:bookmarkEnd w:id="217"/>
    <w:bookmarkStart w:id="219"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8">
        <w:r>
          <w:rPr>
            <w:rStyle w:val="Hyperlink"/>
          </w:rPr>
          <w:t xml:space="preserve">https://doi.org/10.1037/a0018390</w:t>
        </w:r>
      </w:hyperlink>
    </w:p>
    <w:bookmarkEnd w:id="219"/>
    <w:bookmarkStart w:id="221"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0">
        <w:r>
          <w:rPr>
            <w:rStyle w:val="Hyperlink"/>
          </w:rPr>
          <w:t xml:space="preserve">https://doi.org/10.3389/fpsyg.2021.639131</w:t>
        </w:r>
      </w:hyperlink>
    </w:p>
    <w:bookmarkEnd w:id="221"/>
    <w:bookmarkStart w:id="223"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2">
        <w:r>
          <w:rPr>
            <w:rStyle w:val="Hyperlink"/>
          </w:rPr>
          <w:t xml:space="preserve">https://doi.org/10.3758/s13428-014-0458-y</w:t>
        </w:r>
      </w:hyperlink>
    </w:p>
    <w:bookmarkEnd w:id="223"/>
    <w:bookmarkStart w:id="225"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4">
        <w:r>
          <w:rPr>
            <w:rStyle w:val="Hyperlink"/>
          </w:rPr>
          <w:t xml:space="preserve">https://doi.org/10.1080/02701367.1982.10605236</w:t>
        </w:r>
      </w:hyperlink>
    </w:p>
    <w:bookmarkEnd w:id="225"/>
    <w:bookmarkStart w:id="227"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6">
        <w:r>
          <w:rPr>
            <w:rStyle w:val="Hyperlink"/>
          </w:rPr>
          <w:t xml:space="preserve">https://doi.org/10.1037/0278-7393.23.4.968</w:t>
        </w:r>
      </w:hyperlink>
    </w:p>
    <w:bookmarkEnd w:id="227"/>
    <w:bookmarkStart w:id="229"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8">
        <w:r>
          <w:rPr>
            <w:rStyle w:val="Hyperlink"/>
          </w:rPr>
          <w:t xml:space="preserve">https://doi.org/10.31234/osf.io/ygmcj</w:t>
        </w:r>
      </w:hyperlink>
    </w:p>
    <w:bookmarkEnd w:id="229"/>
    <w:bookmarkStart w:id="231"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0">
        <w:r>
          <w:rPr>
            <w:rStyle w:val="Hyperlink"/>
          </w:rPr>
          <w:t xml:space="preserve">https://doi.org/10.1080/09658211.2015.1086805</w:t>
        </w:r>
      </w:hyperlink>
    </w:p>
    <w:bookmarkEnd w:id="231"/>
    <w:bookmarkStart w:id="233"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2">
        <w:r>
          <w:rPr>
            <w:rStyle w:val="Hyperlink"/>
          </w:rPr>
          <w:t xml:space="preserve">https://doi.org/10.1016/0022-2496(88)90023-5</w:t>
        </w:r>
      </w:hyperlink>
    </w:p>
    <w:bookmarkEnd w:id="233"/>
    <w:bookmarkStart w:id="234"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4"/>
    <w:bookmarkStart w:id="236"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5">
        <w:r>
          <w:rPr>
            <w:rStyle w:val="Hyperlink"/>
          </w:rPr>
          <w:t xml:space="preserve">https://doi.org/10.1016/j.brat.2022.104201</w:t>
        </w:r>
      </w:hyperlink>
    </w:p>
    <w:bookmarkEnd w:id="236"/>
    <w:bookmarkStart w:id="238"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7">
        <w:r>
          <w:rPr>
            <w:rStyle w:val="Hyperlink"/>
          </w:rPr>
          <w:t xml:space="preserve">https://doi.org/10.1017/CBO9781316272503</w:t>
        </w:r>
      </w:hyperlink>
    </w:p>
    <w:bookmarkEnd w:id="238"/>
    <w:bookmarkStart w:id="240"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9">
        <w:r>
          <w:rPr>
            <w:rStyle w:val="Hyperlink"/>
          </w:rPr>
          <w:t xml:space="preserve">https://doi.org/10.3758/BRM.41.4.1149</w:t>
        </w:r>
      </w:hyperlink>
    </w:p>
    <w:bookmarkEnd w:id="240"/>
    <w:bookmarkStart w:id="242"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1">
        <w:r>
          <w:rPr>
            <w:rStyle w:val="Hyperlink"/>
          </w:rPr>
          <w:t xml:space="preserve">https://doi.org/10.1371/journal.pcbi.1003425</w:t>
        </w:r>
      </w:hyperlink>
    </w:p>
    <w:bookmarkEnd w:id="242"/>
    <w:bookmarkStart w:id="244"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3">
        <w:r>
          <w:rPr>
            <w:rStyle w:val="Hyperlink"/>
          </w:rPr>
          <w:t xml:space="preserve">https://doi.org/10.1073/pnas.93.9.3843</w:t>
        </w:r>
      </w:hyperlink>
    </w:p>
    <w:bookmarkEnd w:id="244"/>
    <w:bookmarkStart w:id="246"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5">
        <w:r>
          <w:rPr>
            <w:rStyle w:val="Hyperlink"/>
          </w:rPr>
          <w:t xml:space="preserve">https://doi.org/10.3758/s13414-021-02338-6</w:t>
        </w:r>
      </w:hyperlink>
    </w:p>
    <w:bookmarkEnd w:id="246"/>
    <w:bookmarkStart w:id="248"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7">
        <w:r>
          <w:rPr>
            <w:rStyle w:val="Hyperlink"/>
          </w:rPr>
          <w:t xml:space="preserve">https://doi.org/10.3758/s13423-023-02252-y</w:t>
        </w:r>
      </w:hyperlink>
    </w:p>
    <w:bookmarkEnd w:id="248"/>
    <w:bookmarkStart w:id="25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9">
        <w:r>
          <w:rPr>
            <w:rStyle w:val="Hyperlink"/>
          </w:rPr>
          <w:t xml:space="preserve">https://doi.org/10.1523/JNEUROSCI.16-21-07085.1996</w:t>
        </w:r>
      </w:hyperlink>
    </w:p>
    <w:bookmarkEnd w:id="250"/>
    <w:bookmarkStart w:id="252"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1">
        <w:r>
          <w:rPr>
            <w:rStyle w:val="Hyperlink"/>
          </w:rPr>
          <w:t xml:space="preserve">https://doi.org/10.1080/20445911.2011.507187</w:t>
        </w:r>
      </w:hyperlink>
    </w:p>
    <w:bookmarkEnd w:id="252"/>
    <w:bookmarkStart w:id="254"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3">
        <w:r>
          <w:rPr>
            <w:rStyle w:val="Hyperlink"/>
          </w:rPr>
          <w:t xml:space="preserve">https://doi.org/10.3758/PBR.15.3.662</w:t>
        </w:r>
      </w:hyperlink>
    </w:p>
    <w:bookmarkEnd w:id="254"/>
    <w:bookmarkStart w:id="256"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5">
        <w:r>
          <w:rPr>
            <w:rStyle w:val="Hyperlink"/>
          </w:rPr>
          <w:t xml:space="preserve">https://doi.org/10.2466/pms.1998.87.1.147</w:t>
        </w:r>
      </w:hyperlink>
    </w:p>
    <w:bookmarkEnd w:id="256"/>
    <w:bookmarkStart w:id="258"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7">
        <w:r>
          <w:rPr>
            <w:rStyle w:val="Hyperlink"/>
          </w:rPr>
          <w:t xml:space="preserve">https://doi.org/10.1016/j.cogpsych.2022.101491</w:t>
        </w:r>
      </w:hyperlink>
    </w:p>
    <w:bookmarkEnd w:id="258"/>
    <w:bookmarkStart w:id="260"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9">
        <w:r>
          <w:rPr>
            <w:rStyle w:val="Hyperlink"/>
          </w:rPr>
          <w:t xml:space="preserve">https://doi.org/10.2466/pms.1995.81.3f.1275</w:t>
        </w:r>
      </w:hyperlink>
    </w:p>
    <w:bookmarkEnd w:id="260"/>
    <w:bookmarkStart w:id="26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1"/>
    <w:bookmarkStart w:id="263"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2">
        <w:r>
          <w:rPr>
            <w:rStyle w:val="Hyperlink"/>
          </w:rPr>
          <w:t xml:space="preserve">https://doi.org/10.3200/JMBR.36.2.212-224</w:t>
        </w:r>
      </w:hyperlink>
    </w:p>
    <w:bookmarkEnd w:id="263"/>
    <w:bookmarkStart w:id="265"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4">
        <w:r>
          <w:rPr>
            <w:rStyle w:val="Hyperlink"/>
          </w:rPr>
          <w:t xml:space="preserve">https://www.jstor.org/stable/43551124</w:t>
        </w:r>
      </w:hyperlink>
    </w:p>
    <w:bookmarkEnd w:id="265"/>
    <w:bookmarkStart w:id="267"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6">
        <w:r>
          <w:rPr>
            <w:rStyle w:val="Hyperlink"/>
          </w:rPr>
          <w:t xml:space="preserve">https://doi.org/10.1371/journal.pone.0269794</w:t>
        </w:r>
      </w:hyperlink>
    </w:p>
    <w:bookmarkEnd w:id="267"/>
    <w:bookmarkStart w:id="269"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8">
        <w:r>
          <w:rPr>
            <w:rStyle w:val="Hyperlink"/>
          </w:rPr>
          <w:t xml:space="preserve">https://doi.org/10.3758/BF03195318</w:t>
        </w:r>
      </w:hyperlink>
    </w:p>
    <w:bookmarkEnd w:id="269"/>
    <w:bookmarkStart w:id="271"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0">
        <w:r>
          <w:rPr>
            <w:rStyle w:val="Hyperlink"/>
          </w:rPr>
          <w:t xml:space="preserve">https://doi.org/10.1037/a0020666</w:t>
        </w:r>
      </w:hyperlink>
    </w:p>
    <w:bookmarkEnd w:id="271"/>
    <w:bookmarkStart w:id="273"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2">
        <w:r>
          <w:rPr>
            <w:rStyle w:val="Hyperlink"/>
          </w:rPr>
          <w:t xml:space="preserve">https://doi.org/10.3758/BF03202365</w:t>
        </w:r>
      </w:hyperlink>
    </w:p>
    <w:bookmarkEnd w:id="273"/>
    <w:bookmarkStart w:id="274"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4"/>
    <w:bookmarkStart w:id="276"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5">
        <w:r>
          <w:rPr>
            <w:rStyle w:val="Hyperlink"/>
          </w:rPr>
          <w:t xml:space="preserve">https://doi.org/10.1037/0278-7393.2.3.322</w:t>
        </w:r>
      </w:hyperlink>
    </w:p>
    <w:bookmarkEnd w:id="276"/>
    <w:bookmarkStart w:id="278"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7">
        <w:r>
          <w:rPr>
            <w:rStyle w:val="Hyperlink"/>
          </w:rPr>
          <w:t xml:space="preserve">https://doi.org/10.1080/713756773</w:t>
        </w:r>
      </w:hyperlink>
    </w:p>
    <w:bookmarkEnd w:id="278"/>
    <w:bookmarkStart w:id="280"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9">
        <w:r>
          <w:rPr>
            <w:rStyle w:val="Hyperlink"/>
          </w:rPr>
          <w:t xml:space="preserve">https://doi.org/10.1016/j.visres.2022.108128</w:t>
        </w:r>
      </w:hyperlink>
    </w:p>
    <w:bookmarkEnd w:id="280"/>
    <w:bookmarkStart w:id="282"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1">
        <w:r>
          <w:rPr>
            <w:rStyle w:val="Hyperlink"/>
          </w:rPr>
          <w:t xml:space="preserve">https://doi.org/10.1177/17470218231210491</w:t>
        </w:r>
      </w:hyperlink>
    </w:p>
    <w:bookmarkEnd w:id="282"/>
    <w:bookmarkStart w:id="283"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3"/>
    <w:bookmarkStart w:id="285"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4">
        <w:r>
          <w:rPr>
            <w:rStyle w:val="Hyperlink"/>
          </w:rPr>
          <w:t xml:space="preserve">https://doi.org/10.3758/s13421-023-01516-1</w:t>
        </w:r>
      </w:hyperlink>
    </w:p>
    <w:bookmarkEnd w:id="285"/>
    <w:bookmarkStart w:id="287"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6">
        <w:r>
          <w:rPr>
            <w:rStyle w:val="Hyperlink"/>
          </w:rPr>
          <w:t xml:space="preserve">https://doi.org/10.1037/a0024386</w:t>
        </w:r>
      </w:hyperlink>
    </w:p>
    <w:bookmarkEnd w:id="287"/>
    <w:bookmarkStart w:id="289"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8">
        <w:r>
          <w:rPr>
            <w:rStyle w:val="Hyperlink"/>
          </w:rPr>
          <w:t xml:space="preserve">https://doi.org/10.1038/s44159-022-00025-3</w:t>
        </w:r>
      </w:hyperlink>
    </w:p>
    <w:bookmarkEnd w:id="289"/>
    <w:bookmarkStart w:id="291"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0">
        <w:r>
          <w:rPr>
            <w:rStyle w:val="Hyperlink"/>
          </w:rPr>
          <w:t xml:space="preserve">https://doi.org/10.1111/cogs.12812</w:t>
        </w:r>
      </w:hyperlink>
    </w:p>
    <w:bookmarkEnd w:id="291"/>
    <w:bookmarkStart w:id="293"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2">
        <w:r>
          <w:rPr>
            <w:rStyle w:val="Hyperlink"/>
          </w:rPr>
          <w:t xml:space="preserve">https://doi.org/10.3758/s13421-013-0306-9</w:t>
        </w:r>
      </w:hyperlink>
    </w:p>
    <w:bookmarkEnd w:id="293"/>
    <w:bookmarkStart w:id="295"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4">
        <w:r>
          <w:rPr>
            <w:rStyle w:val="Hyperlink"/>
          </w:rPr>
          <w:t xml:space="preserve">https://doi.org/10.1037/0033-295X.111.4.1072</w:t>
        </w:r>
      </w:hyperlink>
    </w:p>
    <w:bookmarkEnd w:id="295"/>
    <w:bookmarkStart w:id="297"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6">
        <w:r>
          <w:rPr>
            <w:rStyle w:val="Hyperlink"/>
          </w:rPr>
          <w:t xml:space="preserve">https://doi.org/10.1016/j.jmp.2020.102417</w:t>
        </w:r>
      </w:hyperlink>
    </w:p>
    <w:bookmarkEnd w:id="297"/>
    <w:bookmarkStart w:id="299"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8">
        <w:r>
          <w:rPr>
            <w:rStyle w:val="Hyperlink"/>
          </w:rPr>
          <w:t xml:space="preserve">https://doi.org/10.1111/cogs.12738</w:t>
        </w:r>
      </w:hyperlink>
    </w:p>
    <w:bookmarkEnd w:id="299"/>
    <w:bookmarkStart w:id="300"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0"/>
    <w:bookmarkStart w:id="302"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1">
        <w:r>
          <w:rPr>
            <w:rStyle w:val="Hyperlink"/>
          </w:rPr>
          <w:t xml:space="preserve">https://doi.org/10.1016/j.jmp.2008.01.009</w:t>
        </w:r>
      </w:hyperlink>
    </w:p>
    <w:bookmarkEnd w:id="302"/>
    <w:bookmarkStart w:id="304"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3">
        <w:r>
          <w:rPr>
            <w:rStyle w:val="Hyperlink"/>
          </w:rPr>
          <w:t xml:space="preserve">https://doi.org/10.1167/9.7.16</w:t>
        </w:r>
      </w:hyperlink>
    </w:p>
    <w:bookmarkEnd w:id="304"/>
    <w:bookmarkStart w:id="306"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5">
        <w:r>
          <w:rPr>
            <w:rStyle w:val="Hyperlink"/>
          </w:rPr>
          <w:t xml:space="preserve">https://doi.org/10.1177/003151257804600201</w:t>
        </w:r>
      </w:hyperlink>
    </w:p>
    <w:bookmarkEnd w:id="306"/>
    <w:bookmarkStart w:id="307"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7"/>
    <w:bookmarkStart w:id="309"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8">
        <w:r>
          <w:rPr>
            <w:rStyle w:val="Hyperlink"/>
          </w:rPr>
          <w:t xml:space="preserve">https://doi.org/10.1037/0278-7393.17.5.811</w:t>
        </w:r>
      </w:hyperlink>
    </w:p>
    <w:bookmarkEnd w:id="309"/>
    <w:bookmarkStart w:id="311"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0">
        <w:r>
          <w:rPr>
            <w:rStyle w:val="Hyperlink"/>
          </w:rPr>
          <w:t xml:space="preserve">https://doi.org/10.1037/rev0000160</w:t>
        </w:r>
      </w:hyperlink>
    </w:p>
    <w:bookmarkEnd w:id="311"/>
    <w:bookmarkStart w:id="313"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2">
        <w:r>
          <w:rPr>
            <w:rStyle w:val="Hyperlink"/>
          </w:rPr>
          <w:t xml:space="preserve">https://doi.org/10.1037/0033-295X.99.1.22</w:t>
        </w:r>
      </w:hyperlink>
    </w:p>
    <w:bookmarkEnd w:id="313"/>
    <w:bookmarkStart w:id="31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4">
        <w:r>
          <w:rPr>
            <w:rStyle w:val="Hyperlink"/>
          </w:rPr>
          <w:t xml:space="preserve">https://doi.org/10.1037/0278-7393.32.5.1019</w:t>
        </w:r>
      </w:hyperlink>
    </w:p>
    <w:bookmarkEnd w:id="315"/>
    <w:bookmarkStart w:id="317"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6">
        <w:r>
          <w:rPr>
            <w:rStyle w:val="Hyperlink"/>
          </w:rPr>
          <w:t xml:space="preserve">https://doi.org/10.1037/a0026639</w:t>
        </w:r>
      </w:hyperlink>
    </w:p>
    <w:bookmarkEnd w:id="317"/>
    <w:bookmarkStart w:id="319"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8">
        <w:r>
          <w:rPr>
            <w:rStyle w:val="Hyperlink"/>
          </w:rPr>
          <w:t xml:space="preserve">https://doi.org/10.1037/0278-7393.20.5.1003</w:t>
        </w:r>
      </w:hyperlink>
    </w:p>
    <w:bookmarkEnd w:id="319"/>
    <w:bookmarkStart w:id="32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0">
        <w:r>
          <w:rPr>
            <w:rStyle w:val="Hyperlink"/>
          </w:rPr>
          <w:t xml:space="preserve">https://doi.org/10.1016/j.cognition.2019.104026</w:t>
        </w:r>
      </w:hyperlink>
    </w:p>
    <w:bookmarkEnd w:id="321"/>
    <w:bookmarkStart w:id="323"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2">
        <w:r>
          <w:rPr>
            <w:rStyle w:val="Hyperlink"/>
          </w:rPr>
          <w:t xml:space="preserve">https://doi.org/10.1111/j.1756-8765.2009.01044.x</w:t>
        </w:r>
      </w:hyperlink>
    </w:p>
    <w:bookmarkEnd w:id="323"/>
    <w:bookmarkStart w:id="325"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4">
        <w:r>
          <w:rPr>
            <w:rStyle w:val="Hyperlink"/>
          </w:rPr>
          <w:t xml:space="preserve">https://doi.org/10.1177/1747021819857065</w:t>
        </w:r>
      </w:hyperlink>
    </w:p>
    <w:bookmarkEnd w:id="325"/>
    <w:bookmarkStart w:id="327"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6">
        <w:r>
          <w:rPr>
            <w:rStyle w:val="Hyperlink"/>
          </w:rPr>
          <w:t xml:space="preserve">https://doi.org/10.1521/soco.1993.11.1.92</w:t>
        </w:r>
      </w:hyperlink>
    </w:p>
    <w:bookmarkEnd w:id="327"/>
    <w:bookmarkStart w:id="329"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8">
        <w:r>
          <w:rPr>
            <w:rStyle w:val="Hyperlink"/>
          </w:rPr>
          <w:t xml:space="preserve">https://doi.org/10.1177/1747021817739832</w:t>
        </w:r>
      </w:hyperlink>
    </w:p>
    <w:bookmarkEnd w:id="329"/>
    <w:bookmarkStart w:id="331"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0">
        <w:r>
          <w:rPr>
            <w:rStyle w:val="Hyperlink"/>
          </w:rPr>
          <w:t xml:space="preserve">https://doi.org/10.1037/0033-295X.95.4.492</w:t>
        </w:r>
      </w:hyperlink>
    </w:p>
    <w:bookmarkEnd w:id="331"/>
    <w:bookmarkStart w:id="333"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2">
        <w:r>
          <w:rPr>
            <w:rStyle w:val="Hyperlink"/>
          </w:rPr>
          <w:t xml:space="preserve">https://doi.org/10.1037/0033-295X.109.2.376</w:t>
        </w:r>
      </w:hyperlink>
    </w:p>
    <w:bookmarkEnd w:id="333"/>
    <w:bookmarkStart w:id="335"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4">
        <w:r>
          <w:rPr>
            <w:rStyle w:val="Hyperlink"/>
          </w:rPr>
          <w:t xml:space="preserve">https://doi.org/10.1037/xlm0000779</w:t>
        </w:r>
      </w:hyperlink>
    </w:p>
    <w:bookmarkEnd w:id="335"/>
    <w:bookmarkStart w:id="337"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6">
        <w:r>
          <w:rPr>
            <w:rStyle w:val="Hyperlink"/>
          </w:rPr>
          <w:t xml:space="preserve">https://doi.org/10.3758/s13414-011-0101-2</w:t>
        </w:r>
      </w:hyperlink>
    </w:p>
    <w:bookmarkEnd w:id="337"/>
    <w:bookmarkStart w:id="339"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8">
        <w:r>
          <w:rPr>
            <w:rStyle w:val="Hyperlink"/>
          </w:rPr>
          <w:t xml:space="preserve">https://doi.org/10.21105/joss.01541</w:t>
        </w:r>
      </w:hyperlink>
    </w:p>
    <w:bookmarkEnd w:id="339"/>
    <w:bookmarkStart w:id="341"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0">
        <w:r>
          <w:rPr>
            <w:rStyle w:val="Hyperlink"/>
          </w:rPr>
          <w:t xml:space="preserve">https://doi.org/10.1016/j.cub.2023.01.011</w:t>
        </w:r>
      </w:hyperlink>
    </w:p>
    <w:bookmarkEnd w:id="341"/>
    <w:bookmarkStart w:id="343"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2">
        <w:r>
          <w:rPr>
            <w:rStyle w:val="Hyperlink"/>
          </w:rPr>
          <w:t xml:space="preserve">https://doi.org/10.3389/fncom.2013.00100</w:t>
        </w:r>
      </w:hyperlink>
    </w:p>
    <w:bookmarkEnd w:id="343"/>
    <w:bookmarkStart w:id="344"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4"/>
    <w:bookmarkStart w:id="34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5">
        <w:r>
          <w:rPr>
            <w:rStyle w:val="Hyperlink"/>
          </w:rPr>
          <w:t xml:space="preserve">https://doi.org/10.1080/00222895.1977.10735109</w:t>
        </w:r>
      </w:hyperlink>
    </w:p>
    <w:bookmarkEnd w:id="346"/>
    <w:bookmarkStart w:id="348"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7">
        <w:r>
          <w:rPr>
            <w:rStyle w:val="Hyperlink"/>
          </w:rPr>
          <w:t xml:space="preserve">https://doi.org/10.3758/BF03196347</w:t>
        </w:r>
      </w:hyperlink>
    </w:p>
    <w:bookmarkEnd w:id="348"/>
    <w:bookmarkStart w:id="350"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9">
        <w:r>
          <w:rPr>
            <w:rStyle w:val="Hyperlink"/>
          </w:rPr>
          <w:t xml:space="preserve">https://doi.org/10.1037/a0013982</w:t>
        </w:r>
      </w:hyperlink>
    </w:p>
    <w:bookmarkEnd w:id="350"/>
    <w:bookmarkStart w:id="35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1">
        <w:r>
          <w:rPr>
            <w:rStyle w:val="Hyperlink"/>
          </w:rPr>
          <w:t xml:space="preserve">https://doi.org/10.1037/a0032184</w:t>
        </w:r>
      </w:hyperlink>
    </w:p>
    <w:bookmarkEnd w:id="352"/>
    <w:bookmarkStart w:id="35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3">
        <w:r>
          <w:rPr>
            <w:rStyle w:val="Hyperlink"/>
          </w:rPr>
          <w:t xml:space="preserve">https://doi.org/10.1037/0033-295X.85.3.207</w:t>
        </w:r>
      </w:hyperlink>
    </w:p>
    <w:bookmarkEnd w:id="354"/>
    <w:bookmarkStart w:id="35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5">
        <w:r>
          <w:rPr>
            <w:rStyle w:val="Hyperlink"/>
          </w:rPr>
          <w:t xml:space="preserve">https://doi.org/10.1080/23311908.2018.1493714</w:t>
        </w:r>
      </w:hyperlink>
    </w:p>
    <w:bookmarkEnd w:id="356"/>
    <w:bookmarkStart w:id="35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7">
        <w:r>
          <w:rPr>
            <w:rStyle w:val="Hyperlink"/>
          </w:rPr>
          <w:t xml:space="preserve">https://doi.org/10.1177/0301006615599902</w:t>
        </w:r>
      </w:hyperlink>
    </w:p>
    <w:bookmarkEnd w:id="358"/>
    <w:bookmarkStart w:id="36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9">
        <w:r>
          <w:rPr>
            <w:rStyle w:val="Hyperlink"/>
          </w:rPr>
          <w:t xml:space="preserve">https://doi.org/10.1016/j.jmp.2022.102691</w:t>
        </w:r>
      </w:hyperlink>
    </w:p>
    <w:bookmarkEnd w:id="360"/>
    <w:bookmarkStart w:id="36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1">
        <w:r>
          <w:rPr>
            <w:rStyle w:val="Hyperlink"/>
          </w:rPr>
          <w:t xml:space="preserve">https://doi.org/10.1016/j.visres.2019.09.005</w:t>
        </w:r>
      </w:hyperlink>
    </w:p>
    <w:bookmarkEnd w:id="362"/>
    <w:bookmarkStart w:id="36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3">
        <w:r>
          <w:rPr>
            <w:rStyle w:val="Hyperlink"/>
          </w:rPr>
          <w:t xml:space="preserve">https://doi.org/10.1007/s00426-023-01913-w</w:t>
        </w:r>
      </w:hyperlink>
    </w:p>
    <w:bookmarkEnd w:id="364"/>
    <w:bookmarkStart w:id="36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5">
        <w:r>
          <w:rPr>
            <w:rStyle w:val="Hyperlink"/>
          </w:rPr>
          <w:t xml:space="preserve">https://doi.org/10.1080/00222895.1979.10735173</w:t>
        </w:r>
      </w:hyperlink>
    </w:p>
    <w:bookmarkEnd w:id="366"/>
    <w:bookmarkStart w:id="36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7">
        <w:r>
          <w:rPr>
            <w:rStyle w:val="Hyperlink"/>
          </w:rPr>
          <w:t xml:space="preserve">https://doi.org/10.1080/02701367.2003.10609108</w:t>
        </w:r>
      </w:hyperlink>
    </w:p>
    <w:bookmarkEnd w:id="368"/>
    <w:bookmarkStart w:id="37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9">
        <w:r>
          <w:rPr>
            <w:rStyle w:val="Hyperlink"/>
          </w:rPr>
          <w:t xml:space="preserve">https://doi.org/10.1080/00222895.1976.10735077</w:t>
        </w:r>
      </w:hyperlink>
    </w:p>
    <w:bookmarkEnd w:id="370"/>
    <w:bookmarkStart w:id="37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1">
        <w:r>
          <w:rPr>
            <w:rStyle w:val="Hyperlink"/>
          </w:rPr>
          <w:t xml:space="preserve">https://doi.org/10.1080/02640414.2018.1522683</w:t>
        </w:r>
      </w:hyperlink>
    </w:p>
    <w:bookmarkEnd w:id="372"/>
    <w:bookmarkStart w:id="37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3">
        <w:r>
          <w:rPr>
            <w:rStyle w:val="Hyperlink"/>
          </w:rPr>
          <w:t xml:space="preserve">https://doi.org/10.1037/0096-3445.115.1.39</w:t>
        </w:r>
      </w:hyperlink>
    </w:p>
    <w:bookmarkEnd w:id="374"/>
    <w:bookmarkStart w:id="37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5">
        <w:r>
          <w:rPr>
            <w:rStyle w:val="Hyperlink"/>
          </w:rPr>
          <w:t xml:space="preserve">https://doi.org/10.1146/annurev.ps.43.020192.000325</w:t>
        </w:r>
      </w:hyperlink>
    </w:p>
    <w:bookmarkEnd w:id="376"/>
    <w:bookmarkStart w:id="37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7">
        <w:r>
          <w:rPr>
            <w:rStyle w:val="Hyperlink"/>
          </w:rPr>
          <w:t xml:space="preserve">https://doi.org/10.1007/BF03543066</w:t>
        </w:r>
      </w:hyperlink>
    </w:p>
    <w:bookmarkEnd w:id="378"/>
    <w:bookmarkStart w:id="38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9">
        <w:r>
          <w:rPr>
            <w:rStyle w:val="Hyperlink"/>
          </w:rPr>
          <w:t xml:space="preserve">https://doi.org/10.1016/S0079-7421(08)60491-0</w:t>
        </w:r>
      </w:hyperlink>
    </w:p>
    <w:bookmarkEnd w:id="380"/>
    <w:bookmarkStart w:id="38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1">
        <w:r>
          <w:rPr>
            <w:rStyle w:val="Hyperlink"/>
          </w:rPr>
          <w:t xml:space="preserve">https://doi.org/10.3758/s13423-018-1508-8</w:t>
        </w:r>
      </w:hyperlink>
    </w:p>
    <w:bookmarkEnd w:id="382"/>
    <w:bookmarkStart w:id="38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3">
        <w:r>
          <w:rPr>
            <w:rStyle w:val="Hyperlink"/>
          </w:rPr>
          <w:t xml:space="preserve">https://doi.org/10.1016/j.visres.2007.11.019</w:t>
        </w:r>
      </w:hyperlink>
    </w:p>
    <w:bookmarkEnd w:id="384"/>
    <w:bookmarkStart w:id="38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5">
        <w:r>
          <w:rPr>
            <w:rStyle w:val="Hyperlink"/>
          </w:rPr>
          <w:t xml:space="preserve">https://doi.org/10.1007/s00221-018-5383-3</w:t>
        </w:r>
      </w:hyperlink>
    </w:p>
    <w:bookmarkEnd w:id="386"/>
    <w:bookmarkStart w:id="38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7">
        <w:r>
          <w:rPr>
            <w:rStyle w:val="Hyperlink"/>
          </w:rPr>
          <w:t xml:space="preserve">https://doi.org/10.1017/S0140525X00003356</w:t>
        </w:r>
      </w:hyperlink>
    </w:p>
    <w:bookmarkEnd w:id="388"/>
    <w:bookmarkStart w:id="38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9"/>
    <w:bookmarkStart w:id="39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0">
        <w:r>
          <w:rPr>
            <w:rStyle w:val="Hyperlink"/>
          </w:rPr>
          <w:t xml:space="preserve">https://doi.org/10.1080/02724980042000084</w:t>
        </w:r>
      </w:hyperlink>
    </w:p>
    <w:bookmarkEnd w:id="391"/>
    <w:bookmarkStart w:id="39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2"/>
    <w:bookmarkStart w:id="39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3">
        <w:r>
          <w:rPr>
            <w:rStyle w:val="Hyperlink"/>
          </w:rPr>
          <w:t xml:space="preserve">https://doi.org/10.1080/20445911.2011.613818</w:t>
        </w:r>
      </w:hyperlink>
    </w:p>
    <w:bookmarkEnd w:id="394"/>
    <w:bookmarkStart w:id="39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5">
        <w:r>
          <w:rPr>
            <w:rStyle w:val="Hyperlink"/>
          </w:rPr>
          <w:t xml:space="preserve">https://doi.org/10.1177/0956797610389189</w:t>
        </w:r>
      </w:hyperlink>
    </w:p>
    <w:bookmarkEnd w:id="396"/>
    <w:bookmarkStart w:id="39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7">
        <w:r>
          <w:rPr>
            <w:rStyle w:val="Hyperlink"/>
          </w:rPr>
          <w:t xml:space="preserve">https://doi.org/10.1080/02701367.1984.10605353</w:t>
        </w:r>
      </w:hyperlink>
    </w:p>
    <w:bookmarkEnd w:id="398"/>
    <w:bookmarkStart w:id="40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9">
        <w:r>
          <w:rPr>
            <w:rStyle w:val="Hyperlink"/>
          </w:rPr>
          <w:t xml:space="preserve">https://doi.org/10.1162/jocn_a_01738</w:t>
        </w:r>
      </w:hyperlink>
    </w:p>
    <w:bookmarkEnd w:id="400"/>
    <w:bookmarkStart w:id="40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1">
        <w:r>
          <w:rPr>
            <w:rStyle w:val="Hyperlink"/>
          </w:rPr>
          <w:t xml:space="preserve">https://doi.org/10.1037/0278-7393.25.1.208</w:t>
        </w:r>
      </w:hyperlink>
    </w:p>
    <w:bookmarkEnd w:id="402"/>
    <w:bookmarkStart w:id="40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3">
        <w:r>
          <w:rPr>
            <w:rStyle w:val="Hyperlink"/>
          </w:rPr>
          <w:t xml:space="preserve">https://doi.org/10.1037/h0025953</w:t>
        </w:r>
      </w:hyperlink>
    </w:p>
    <w:bookmarkEnd w:id="404"/>
    <w:bookmarkStart w:id="40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5">
        <w:r>
          <w:rPr>
            <w:rStyle w:val="Hyperlink"/>
          </w:rPr>
          <w:t xml:space="preserve">https://doi.org/10.1027/1618-3169/a000469</w:t>
        </w:r>
      </w:hyperlink>
    </w:p>
    <w:bookmarkEnd w:id="406"/>
    <w:bookmarkStart w:id="408"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07">
        <w:r>
          <w:rPr>
            <w:rStyle w:val="Hyperlink"/>
          </w:rPr>
          <w:t xml:space="preserve">https://doi.org/10.1038/s41539-024-00269-z</w:t>
        </w:r>
      </w:hyperlink>
    </w:p>
    <w:bookmarkEnd w:id="408"/>
    <w:bookmarkStart w:id="410"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9">
        <w:r>
          <w:rPr>
            <w:rStyle w:val="Hyperlink"/>
          </w:rPr>
          <w:t xml:space="preserve">https://doi.org/10.1016/j.tics.2022.03.007</w:t>
        </w:r>
      </w:hyperlink>
    </w:p>
    <w:bookmarkEnd w:id="410"/>
    <w:bookmarkStart w:id="412"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1">
        <w:r>
          <w:rPr>
            <w:rStyle w:val="Hyperlink"/>
          </w:rPr>
          <w:t xml:space="preserve">https://doi.org/10.1016/j.jesp.2023.104478</w:t>
        </w:r>
      </w:hyperlink>
    </w:p>
    <w:bookmarkEnd w:id="412"/>
    <w:bookmarkStart w:id="414"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3">
        <w:r>
          <w:rPr>
            <w:rStyle w:val="Hyperlink"/>
          </w:rPr>
          <w:t xml:space="preserve">https://doi.org/10.3758/s13423-021-01878-0</w:t>
        </w:r>
      </w:hyperlink>
    </w:p>
    <w:bookmarkEnd w:id="414"/>
    <w:bookmarkStart w:id="416"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5">
        <w:r>
          <w:rPr>
            <w:rStyle w:val="Hyperlink"/>
          </w:rPr>
          <w:t xml:space="preserve">https://doi.org/10.1037/xhp0001057</w:t>
        </w:r>
      </w:hyperlink>
    </w:p>
    <w:bookmarkEnd w:id="416"/>
    <w:bookmarkStart w:id="418"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7">
        <w:r>
          <w:rPr>
            <w:rStyle w:val="Hyperlink"/>
          </w:rPr>
          <w:t xml:space="preserve">https://doi.org/10.1016/S0926-6410(01)00077-5</w:t>
        </w:r>
      </w:hyperlink>
    </w:p>
    <w:bookmarkEnd w:id="418"/>
    <w:bookmarkStart w:id="420"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9">
        <w:r>
          <w:rPr>
            <w:rStyle w:val="Hyperlink"/>
          </w:rPr>
          <w:t xml:space="preserve">https://doi.org/10.1146/annurev.psych.52.1.453</w:t>
        </w:r>
      </w:hyperlink>
    </w:p>
    <w:bookmarkEnd w:id="420"/>
    <w:bookmarkStart w:id="422"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1">
        <w:r>
          <w:rPr>
            <w:rStyle w:val="Hyperlink"/>
          </w:rPr>
          <w:t xml:space="preserve">https://doi.org/10.1037/0033-295X.102.1.28</w:t>
        </w:r>
      </w:hyperlink>
    </w:p>
    <w:bookmarkEnd w:id="422"/>
    <w:bookmarkStart w:id="424"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3">
        <w:r>
          <w:rPr>
            <w:rStyle w:val="Hyperlink"/>
          </w:rPr>
          <w:t xml:space="preserve">https://doi.org/10.1007/s00426-018-1006-7</w:t>
        </w:r>
      </w:hyperlink>
    </w:p>
    <w:bookmarkEnd w:id="424"/>
    <w:bookmarkStart w:id="426"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5">
        <w:r>
          <w:rPr>
            <w:rStyle w:val="Hyperlink"/>
          </w:rPr>
          <w:t xml:space="preserve">https://doi.org/10.3389/fpsyg.2014.01318</w:t>
        </w:r>
      </w:hyperlink>
    </w:p>
    <w:bookmarkEnd w:id="426"/>
    <w:bookmarkStart w:id="428"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7">
        <w:r>
          <w:rPr>
            <w:rStyle w:val="Hyperlink"/>
          </w:rPr>
          <w:t xml:space="preserve">https://doi.org/10.1016/j.actpsy.2021.103356</w:t>
        </w:r>
      </w:hyperlink>
    </w:p>
    <w:bookmarkEnd w:id="428"/>
    <w:bookmarkStart w:id="430"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9">
        <w:r>
          <w:rPr>
            <w:rStyle w:val="Hyperlink"/>
          </w:rPr>
          <w:t xml:space="preserve">https://doi.org/10.3758/MC.36.6.1057</w:t>
        </w:r>
      </w:hyperlink>
    </w:p>
    <w:bookmarkEnd w:id="430"/>
    <w:bookmarkStart w:id="431"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1"/>
    <w:bookmarkStart w:id="43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2">
        <w:r>
          <w:rPr>
            <w:rStyle w:val="Hyperlink"/>
          </w:rPr>
          <w:t xml:space="preserve">https://doi.org/10.1037/h0076770</w:t>
        </w:r>
      </w:hyperlink>
    </w:p>
    <w:bookmarkEnd w:id="433"/>
    <w:bookmarkStart w:id="43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4">
        <w:r>
          <w:rPr>
            <w:rStyle w:val="Hyperlink"/>
          </w:rPr>
          <w:t xml:space="preserve">https://doi.org/10.1162/opmi_a_00032</w:t>
        </w:r>
      </w:hyperlink>
    </w:p>
    <w:bookmarkEnd w:id="435"/>
    <w:bookmarkStart w:id="436"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6"/>
    <w:bookmarkStart w:id="43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7"/>
    <w:bookmarkStart w:id="439"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8">
        <w:r>
          <w:rPr>
            <w:rStyle w:val="Hyperlink"/>
          </w:rPr>
          <w:t xml:space="preserve">https://doi.org/10.1126/science.3629243</w:t>
        </w:r>
      </w:hyperlink>
    </w:p>
    <w:bookmarkEnd w:id="439"/>
    <w:bookmarkStart w:id="441"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0">
        <w:r>
          <w:rPr>
            <w:rStyle w:val="Hyperlink"/>
          </w:rPr>
          <w:t xml:space="preserve">https://doi.org/10.1017/S0272263119000263</w:t>
        </w:r>
      </w:hyperlink>
    </w:p>
    <w:bookmarkEnd w:id="441"/>
    <w:bookmarkStart w:id="443"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2">
        <w:r>
          <w:rPr>
            <w:rStyle w:val="Hyperlink"/>
          </w:rPr>
          <w:t xml:space="preserve">https://doi.org/10.1177/1745691615569000</w:t>
        </w:r>
      </w:hyperlink>
    </w:p>
    <w:bookmarkEnd w:id="443"/>
    <w:bookmarkStart w:id="445"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4">
        <w:r>
          <w:rPr>
            <w:rStyle w:val="Hyperlink"/>
          </w:rPr>
          <w:t xml:space="preserve">https://doi.org/10.1037//0278-7393.28.5.893</w:t>
        </w:r>
      </w:hyperlink>
    </w:p>
    <w:bookmarkEnd w:id="445"/>
    <w:bookmarkStart w:id="447"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6">
        <w:r>
          <w:rPr>
            <w:rStyle w:val="Hyperlink"/>
          </w:rPr>
          <w:t xml:space="preserve">https://doi.org/10.3389/fnhum.2013.00171</w:t>
        </w:r>
      </w:hyperlink>
    </w:p>
    <w:bookmarkEnd w:id="447"/>
    <w:bookmarkStart w:id="44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8"/>
    <w:bookmarkStart w:id="450"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9">
        <w:r>
          <w:rPr>
            <w:rStyle w:val="Hyperlink"/>
          </w:rPr>
          <w:t xml:space="preserve">https://doi.org/10.1017/S0140525X01000061</w:t>
        </w:r>
      </w:hyperlink>
    </w:p>
    <w:bookmarkEnd w:id="450"/>
    <w:bookmarkStart w:id="45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1">
        <w:r>
          <w:rPr>
            <w:rStyle w:val="Hyperlink"/>
          </w:rPr>
          <w:t xml:space="preserve">https://doi.org/10.1523/JNEUROSCI.1771-05.2005</w:t>
        </w:r>
      </w:hyperlink>
    </w:p>
    <w:bookmarkEnd w:id="452"/>
    <w:bookmarkStart w:id="454"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3">
        <w:r>
          <w:rPr>
            <w:rStyle w:val="Hyperlink"/>
          </w:rPr>
          <w:t xml:space="preserve">https://doi.org/10.1016/j.jmp.2014.10.001</w:t>
        </w:r>
      </w:hyperlink>
    </w:p>
    <w:bookmarkEnd w:id="454"/>
    <w:bookmarkStart w:id="456"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5">
        <w:r>
          <w:rPr>
            <w:rStyle w:val="Hyperlink"/>
          </w:rPr>
          <w:t xml:space="preserve">https://doi.org/10.1016/j.jmp.2012.02.005</w:t>
        </w:r>
      </w:hyperlink>
    </w:p>
    <w:bookmarkEnd w:id="456"/>
    <w:bookmarkStart w:id="458"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7">
        <w:r>
          <w:rPr>
            <w:rStyle w:val="Hyperlink"/>
          </w:rPr>
          <w:t xml:space="preserve">https://doi.org/10.1111/cogs.12539</w:t>
        </w:r>
      </w:hyperlink>
    </w:p>
    <w:bookmarkEnd w:id="458"/>
    <w:bookmarkStart w:id="460"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9">
        <w:r>
          <w:rPr>
            <w:rStyle w:val="Hyperlink"/>
          </w:rPr>
          <w:t xml:space="preserve">https://doi.org/10.1371/journal.pcbi.1004172</w:t>
        </w:r>
      </w:hyperlink>
    </w:p>
    <w:bookmarkEnd w:id="460"/>
    <w:bookmarkStart w:id="462"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1">
        <w:r>
          <w:rPr>
            <w:rStyle w:val="Hyperlink"/>
          </w:rPr>
          <w:t xml:space="preserve">https://doi.org/10.1016/0167-9457(90)90010-B</w:t>
        </w:r>
      </w:hyperlink>
    </w:p>
    <w:bookmarkEnd w:id="462"/>
    <w:bookmarkStart w:id="464"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3">
        <w:r>
          <w:rPr>
            <w:rStyle w:val="Hyperlink"/>
          </w:rPr>
          <w:t xml:space="preserve">https://doi.org/10.1371/journal.pcbi.1012471</w:t>
        </w:r>
      </w:hyperlink>
    </w:p>
    <w:bookmarkEnd w:id="464"/>
    <w:bookmarkStart w:id="46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5">
        <w:r>
          <w:rPr>
            <w:rStyle w:val="Hyperlink"/>
          </w:rPr>
          <w:t xml:space="preserve">https://doi.org/10.1007/s10339-017-0840-7</w:t>
        </w:r>
      </w:hyperlink>
    </w:p>
    <w:bookmarkEnd w:id="466"/>
    <w:bookmarkStart w:id="46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67">
        <w:r>
          <w:rPr>
            <w:rStyle w:val="Hyperlink"/>
          </w:rPr>
          <w:t xml:space="preserve">https://doi.org/10.5167/UZH-135898</w:t>
        </w:r>
      </w:hyperlink>
    </w:p>
    <w:bookmarkEnd w:id="468"/>
    <w:bookmarkStart w:id="47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9">
        <w:r>
          <w:rPr>
            <w:rStyle w:val="Hyperlink"/>
          </w:rPr>
          <w:t xml:space="preserve">https://doi.org/10.3758/s13421-011-0180-2</w:t>
        </w:r>
      </w:hyperlink>
    </w:p>
    <w:bookmarkEnd w:id="470"/>
    <w:bookmarkStart w:id="47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1">
        <w:r>
          <w:rPr>
            <w:rStyle w:val="Hyperlink"/>
          </w:rPr>
          <w:t xml:space="preserve">https://doi.org/10.3758/s13428-020-01405-4</w:t>
        </w:r>
      </w:hyperlink>
    </w:p>
    <w:bookmarkEnd w:id="472"/>
    <w:bookmarkStart w:id="47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3">
        <w:r>
          <w:rPr>
            <w:rStyle w:val="Hyperlink"/>
          </w:rPr>
          <w:t xml:space="preserve">https://doi.org/10.1037/xhp0000301</w:t>
        </w:r>
      </w:hyperlink>
    </w:p>
    <w:bookmarkEnd w:id="474"/>
    <w:bookmarkStart w:id="47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5">
        <w:r>
          <w:rPr>
            <w:rStyle w:val="Hyperlink"/>
          </w:rPr>
          <w:t xml:space="preserve">https://doi.org/10.1016/j.actpsy.2017.11.008</w:t>
        </w:r>
      </w:hyperlink>
    </w:p>
    <w:bookmarkEnd w:id="476"/>
    <w:bookmarkStart w:id="47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77">
        <w:r>
          <w:rPr>
            <w:rStyle w:val="Hyperlink"/>
          </w:rPr>
          <w:t xml:space="preserve">https://doi.org/10.1016/j.visres.2017.03.012</w:t>
        </w:r>
      </w:hyperlink>
    </w:p>
    <w:bookmarkEnd w:id="478"/>
    <w:bookmarkStart w:id="48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9">
        <w:r>
          <w:rPr>
            <w:rStyle w:val="Hyperlink"/>
          </w:rPr>
          <w:t xml:space="preserve">https://doi.org/10.1016/j.jml.2011.11.004</w:t>
        </w:r>
      </w:hyperlink>
    </w:p>
    <w:bookmarkEnd w:id="480"/>
    <w:bookmarkStart w:id="48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1">
        <w:r>
          <w:rPr>
            <w:rStyle w:val="Hyperlink"/>
          </w:rPr>
          <w:t xml:space="preserve">https://doi.org/10.1007/BF00308601</w:t>
        </w:r>
      </w:hyperlink>
    </w:p>
    <w:bookmarkEnd w:id="482"/>
    <w:bookmarkStart w:id="48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3">
        <w:r>
          <w:rPr>
            <w:rStyle w:val="Hyperlink"/>
          </w:rPr>
          <w:t xml:space="preserve">https://doi.org/10.1080/02701367.1983.10605274</w:t>
        </w:r>
      </w:hyperlink>
    </w:p>
    <w:bookmarkEnd w:id="484"/>
    <w:bookmarkStart w:id="48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5">
        <w:r>
          <w:rPr>
            <w:rStyle w:val="Hyperlink"/>
          </w:rPr>
          <w:t xml:space="preserve">https://doi.org/10.1080/02701367.1987.10608114</w:t>
        </w:r>
      </w:hyperlink>
    </w:p>
    <w:bookmarkEnd w:id="486"/>
    <w:bookmarkStart w:id="48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87">
        <w:r>
          <w:rPr>
            <w:rStyle w:val="Hyperlink"/>
          </w:rPr>
          <w:t xml:space="preserve">https://doi.org/10.1101/2020.01.21.914556</w:t>
        </w:r>
      </w:hyperlink>
    </w:p>
    <w:bookmarkEnd w:id="488"/>
    <w:bookmarkStart w:id="49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9">
        <w:r>
          <w:rPr>
            <w:rStyle w:val="Hyperlink"/>
          </w:rPr>
          <w:t xml:space="preserve">https://doi.org/10.1002/acp.2350050206</w:t>
        </w:r>
      </w:hyperlink>
    </w:p>
    <w:bookmarkEnd w:id="490"/>
    <w:bookmarkStart w:id="49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1"/>
    <w:bookmarkStart w:id="49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2">
        <w:r>
          <w:rPr>
            <w:rStyle w:val="Hyperlink"/>
          </w:rPr>
          <w:t xml:space="preserve">https://doi.org/10.1073/pnas.2002903117</w:t>
        </w:r>
      </w:hyperlink>
    </w:p>
    <w:bookmarkEnd w:id="493"/>
    <w:bookmarkStart w:id="49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4">
        <w:r>
          <w:rPr>
            <w:rStyle w:val="Hyperlink"/>
          </w:rPr>
          <w:t xml:space="preserve">https://doi.org/10.3389/fpsyg.2014.01122</w:t>
        </w:r>
      </w:hyperlink>
    </w:p>
    <w:bookmarkEnd w:id="495"/>
    <w:bookmarkStart w:id="49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96">
        <w:r>
          <w:rPr>
            <w:rStyle w:val="Hyperlink"/>
          </w:rPr>
          <w:t xml:space="preserve">https://doi.org/10.3758/BF03192940</w:t>
        </w:r>
      </w:hyperlink>
    </w:p>
    <w:bookmarkEnd w:id="497"/>
    <w:bookmarkStart w:id="49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8">
        <w:r>
          <w:rPr>
            <w:rStyle w:val="Hyperlink"/>
          </w:rPr>
          <w:t xml:space="preserve">https://doi.org/10.3758/s13423-020-01780-1</w:t>
        </w:r>
      </w:hyperlink>
    </w:p>
    <w:bookmarkEnd w:id="499"/>
    <w:bookmarkStart w:id="501"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0">
        <w:r>
          <w:rPr>
            <w:rStyle w:val="Hyperlink"/>
          </w:rPr>
          <w:t xml:space="preserve">https://doi.org/10.1016/j.jecp.2023.105829</w:t>
        </w:r>
      </w:hyperlink>
    </w:p>
    <w:bookmarkEnd w:id="501"/>
    <w:bookmarkEnd w:id="502"/>
    <w:p>
      <w:r>
        <w:br w:type="page"/>
      </w:r>
    </w:p>
    <w:bookmarkEnd w:id="5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8" Target="media/rId38.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2024-10-19T23:51:49Z</dcterms:created>
  <dcterms:modified xsi:type="dcterms:W3CDTF">2024-10-19T23:51:49Z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